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2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2800"/>
        <w:gridCol w:w="4026"/>
        <w:gridCol w:w="2200"/>
      </w:tblGrid>
      <w:tr w:rsidR="00F5217C" w:rsidRPr="00511AAC" w14:paraId="1A9E6799" w14:textId="77777777">
        <w:tc>
          <w:tcPr>
            <w:tcW w:w="2800" w:type="dxa"/>
            <w:tcBorders>
              <w:top w:val="none" w:sz="0" w:space="0" w:color="FFFFFF"/>
              <w:left w:val="none" w:sz="0" w:space="0" w:color="FFFFFF"/>
              <w:bottom w:val="none" w:sz="0" w:space="0" w:color="FFFFFF"/>
              <w:right w:val="none" w:sz="0" w:space="0" w:color="FFFFFF"/>
            </w:tcBorders>
          </w:tcPr>
          <w:p w14:paraId="5B614F5B" w14:textId="77777777" w:rsidR="00F5217C" w:rsidRDefault="00000000">
            <w:pPr>
              <w:spacing w:after="20"/>
            </w:pPr>
            <w:r>
              <w:rPr>
                <w:rFonts w:ascii="Calibri" w:eastAsia="Calibri" w:hAnsi="Calibri" w:cs="Calibri"/>
                <w:b/>
                <w:bCs/>
                <w:color w:val="000000"/>
              </w:rPr>
              <w:t>LUDOVIC ALBISSER</w:t>
            </w:r>
          </w:p>
          <w:p w14:paraId="3F2E4062" w14:textId="16A0D90B" w:rsidR="00F5217C" w:rsidRDefault="005B79DD">
            <w:pPr>
              <w:spacing w:after="20"/>
            </w:pPr>
            <w:r>
              <w:rPr>
                <w:rFonts w:ascii="Calibri" w:eastAsia="Calibri" w:hAnsi="Calibri" w:cs="Calibri"/>
                <w:color w:val="000000"/>
              </w:rPr>
              <w:t xml:space="preserve">Rixheim – France </w:t>
            </w:r>
          </w:p>
          <w:p w14:paraId="6C68BFC6" w14:textId="77777777" w:rsidR="00F5217C" w:rsidRDefault="00000000">
            <w:pPr>
              <w:spacing w:after="20"/>
            </w:pPr>
            <w:r>
              <w:rPr>
                <w:rFonts w:ascii="Calibri" w:eastAsia="Calibri" w:hAnsi="Calibri" w:cs="Calibri"/>
                <w:color w:val="000000"/>
              </w:rPr>
              <w:t>+33 (0) 6 60 11 62 15</w:t>
            </w:r>
          </w:p>
          <w:p w14:paraId="0991F669" w14:textId="02CB8390" w:rsidR="00F5217C" w:rsidRDefault="00583F80">
            <w:pPr>
              <w:spacing w:after="20"/>
            </w:pPr>
            <w:hyperlink r:id="rId5" w:history="1">
              <w:r>
                <w:rPr>
                  <w:rStyle w:val="Hyperlink"/>
                  <w:rFonts w:ascii="Calibri" w:eastAsia="Calibri" w:hAnsi="Calibri" w:cs="Calibri"/>
                </w:rPr>
                <w:t>ludoalbisser@gmail.com</w:t>
              </w:r>
            </w:hyperlink>
            <w:r>
              <w:rPr>
                <w:rFonts w:ascii="Calibri" w:eastAsia="Calibri" w:hAnsi="Calibri" w:cs="Calibri"/>
                <w:color w:val="0000FF"/>
                <w:u w:val="single"/>
              </w:rPr>
              <w:t xml:space="preserve"> </w:t>
            </w:r>
          </w:p>
          <w:p w14:paraId="3FA6C7C7" w14:textId="77777777" w:rsidR="00F5217C" w:rsidRDefault="00F5217C">
            <w:pPr>
              <w:spacing w:after="20"/>
            </w:pPr>
            <w:hyperlink r:id="rId6" w:history="1">
              <w:r>
                <w:rPr>
                  <w:rFonts w:ascii="Calibri" w:eastAsia="Calibri" w:hAnsi="Calibri" w:cs="Calibri"/>
                  <w:color w:val="0000FF"/>
                  <w:u w:val="single"/>
                </w:rPr>
                <w:t>LinkedIn Profile</w:t>
              </w:r>
            </w:hyperlink>
          </w:p>
        </w:tc>
        <w:tc>
          <w:tcPr>
            <w:tcW w:w="4026" w:type="dxa"/>
            <w:tcBorders>
              <w:top w:val="none" w:sz="0" w:space="0" w:color="FFFFFF"/>
              <w:left w:val="none" w:sz="0" w:space="0" w:color="FFFFFF"/>
              <w:bottom w:val="none" w:sz="0" w:space="0" w:color="FFFFFF"/>
              <w:right w:val="none" w:sz="0" w:space="0" w:color="FFFFFF"/>
            </w:tcBorders>
            <w:vAlign w:val="center"/>
          </w:tcPr>
          <w:p w14:paraId="4D4B7E38" w14:textId="5DCAD4A5" w:rsidR="005B79DD" w:rsidRDefault="005B79DD" w:rsidP="005B79DD">
            <w:pPr>
              <w:spacing w:after="40"/>
              <w:jc w:val="center"/>
              <w:rPr>
                <w:rFonts w:ascii="Tahoma" w:eastAsia="Tahoma" w:hAnsi="Tahoma" w:cs="Tahoma"/>
                <w:b/>
                <w:bCs/>
                <w:color w:val="4F81BD"/>
                <w:sz w:val="21"/>
                <w:szCs w:val="21"/>
                <w:lang w:val="en-US"/>
              </w:rPr>
            </w:pPr>
            <w:r>
              <w:rPr>
                <w:rFonts w:ascii="Tahoma" w:eastAsia="Tahoma" w:hAnsi="Tahoma" w:cs="Tahoma"/>
                <w:b/>
                <w:bCs/>
                <w:color w:val="4F81BD"/>
                <w:sz w:val="21"/>
                <w:szCs w:val="21"/>
                <w:lang w:val="en-US"/>
              </w:rPr>
              <w:t>LEARNING &amp; DEVELOPMENT LEAD</w:t>
            </w:r>
          </w:p>
          <w:p w14:paraId="2268A901" w14:textId="77777777" w:rsidR="005B79DD" w:rsidRDefault="00000000" w:rsidP="005B79DD">
            <w:pPr>
              <w:spacing w:after="40"/>
              <w:jc w:val="center"/>
              <w:rPr>
                <w:rFonts w:ascii="Tahoma" w:eastAsia="Tahoma" w:hAnsi="Tahoma" w:cs="Tahoma"/>
                <w:b/>
                <w:bCs/>
                <w:i/>
                <w:iCs/>
                <w:color w:val="4F81BD"/>
                <w:sz w:val="16"/>
                <w:szCs w:val="16"/>
                <w:lang w:val="en-US"/>
              </w:rPr>
            </w:pPr>
            <w:r>
              <w:rPr>
                <w:rFonts w:ascii="Tahoma" w:eastAsia="Tahoma" w:hAnsi="Tahoma" w:cs="Tahoma"/>
                <w:b/>
                <w:bCs/>
                <w:i/>
                <w:iCs/>
                <w:color w:val="4F81BD"/>
                <w:sz w:val="16"/>
                <w:szCs w:val="16"/>
                <w:lang w:val="en-US"/>
              </w:rPr>
              <w:t>— Building Mistral AI's Learning Function,</w:t>
            </w:r>
          </w:p>
          <w:p w14:paraId="60C71E3E" w14:textId="45B9B407" w:rsidR="00F5217C" w:rsidRPr="005B79DD" w:rsidRDefault="00000000" w:rsidP="005B79DD">
            <w:pPr>
              <w:spacing w:after="40"/>
              <w:jc w:val="center"/>
              <w:rPr>
                <w:lang w:val="en-US"/>
              </w:rPr>
            </w:pPr>
            <w:r>
              <w:rPr>
                <w:rFonts w:ascii="Tahoma" w:eastAsia="Tahoma" w:hAnsi="Tahoma" w:cs="Tahoma"/>
                <w:b/>
                <w:bCs/>
                <w:i/>
                <w:iCs/>
                <w:color w:val="4F81BD"/>
                <w:sz w:val="16"/>
                <w:szCs w:val="16"/>
                <w:lang w:val="en-US"/>
              </w:rPr>
              <w:t xml:space="preserve"> From First Hire to Full Scale</w:t>
            </w:r>
          </w:p>
        </w:tc>
        <w:tc>
          <w:tcPr>
            <w:tcW w:w="2200" w:type="dxa"/>
            <w:tcBorders>
              <w:top w:val="none" w:sz="0" w:space="0" w:color="FFFFFF"/>
              <w:left w:val="none" w:sz="0" w:space="0" w:color="FFFFFF"/>
              <w:bottom w:val="none" w:sz="0" w:space="0" w:color="FFFFFF"/>
              <w:right w:val="none" w:sz="0" w:space="0" w:color="FFFFFF"/>
            </w:tcBorders>
            <w:vAlign w:val="center"/>
          </w:tcPr>
          <w:p w14:paraId="51E007F7" w14:textId="069E3875" w:rsidR="00F5217C" w:rsidRPr="005B79DD" w:rsidRDefault="00804899">
            <w:pPr>
              <w:jc w:val="center"/>
              <w:rPr>
                <w:lang w:val="en-US"/>
              </w:rPr>
            </w:pPr>
            <w:r>
              <w:rPr>
                <w:noProof/>
                <w:lang w:val="en-US"/>
              </w:rPr>
              <w:drawing>
                <wp:anchor distT="0" distB="0" distL="114300" distR="114300" simplePos="0" relativeHeight="251658240" behindDoc="0" locked="0" layoutInCell="1" allowOverlap="1" wp14:anchorId="3A5FF6A1" wp14:editId="3EE17F9A">
                  <wp:simplePos x="0" y="0"/>
                  <wp:positionH relativeFrom="column">
                    <wp:posOffset>542925</wp:posOffset>
                  </wp:positionH>
                  <wp:positionV relativeFrom="paragraph">
                    <wp:posOffset>-447675</wp:posOffset>
                  </wp:positionV>
                  <wp:extent cx="1279525" cy="1496695"/>
                  <wp:effectExtent l="0" t="0" r="0" b="8255"/>
                  <wp:wrapNone/>
                  <wp:docPr id="214400192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001929" name="Grafik 2144001929"/>
                          <pic:cNvPicPr/>
                        </pic:nvPicPr>
                        <pic:blipFill rotWithShape="1">
                          <a:blip r:embed="rId7" cstate="print">
                            <a:extLst>
                              <a:ext uri="{28A0092B-C50C-407E-A947-70E740481C1C}">
                                <a14:useLocalDpi xmlns:a14="http://schemas.microsoft.com/office/drawing/2010/main" val="0"/>
                              </a:ext>
                            </a:extLst>
                          </a:blip>
                          <a:srcRect l="17450" r="9927" b="15079"/>
                          <a:stretch>
                            <a:fillRect/>
                          </a:stretch>
                        </pic:blipFill>
                        <pic:spPr bwMode="auto">
                          <a:xfrm>
                            <a:off x="0" y="0"/>
                            <a:ext cx="1279525" cy="14966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74C310ED" w14:textId="0BA09194" w:rsidR="00F5217C" w:rsidRPr="005B79DD" w:rsidRDefault="00000000">
      <w:pPr>
        <w:pBdr>
          <w:bottom w:val="single" w:sz="6" w:space="2" w:color="1B3A6B"/>
        </w:pBdr>
        <w:spacing w:before="280" w:after="120"/>
        <w:rPr>
          <w:lang w:val="en-US"/>
        </w:rPr>
      </w:pPr>
      <w:r>
        <w:rPr>
          <w:rFonts w:ascii="Arial" w:eastAsia="Arial" w:hAnsi="Arial" w:cs="Arial"/>
          <w:b/>
          <w:bCs/>
          <w:color w:val="1B3A6B"/>
          <w:lang w:val="en-US"/>
        </w:rPr>
        <w:t>EXECUTIVE PROFILE</w:t>
      </w:r>
    </w:p>
    <w:p w14:paraId="7A6D43D0" w14:textId="7E57BA97" w:rsidR="00F5217C" w:rsidRPr="005B79DD" w:rsidRDefault="00000000">
      <w:pPr>
        <w:spacing w:before="60" w:after="60"/>
        <w:rPr>
          <w:lang w:val="en-US"/>
        </w:rPr>
      </w:pPr>
      <w:r>
        <w:rPr>
          <w:rFonts w:ascii="Arial" w:eastAsia="Arial" w:hAnsi="Arial" w:cs="Arial"/>
          <w:color w:val="444444"/>
          <w:sz w:val="18"/>
          <w:szCs w:val="18"/>
          <w:lang w:val="en-US"/>
        </w:rPr>
        <w:t xml:space="preserve">HR &amp; Learning and Development leader with 15+ years of experience, including sustained </w:t>
      </w:r>
      <w:proofErr w:type="gramStart"/>
      <w:r>
        <w:rPr>
          <w:rFonts w:ascii="Arial" w:eastAsia="Arial" w:hAnsi="Arial" w:cs="Arial"/>
          <w:color w:val="444444"/>
          <w:sz w:val="18"/>
          <w:szCs w:val="18"/>
          <w:lang w:val="en-US"/>
        </w:rPr>
        <w:t>time building</w:t>
      </w:r>
      <w:proofErr w:type="gramEnd"/>
      <w:r>
        <w:rPr>
          <w:rFonts w:ascii="Arial" w:eastAsia="Arial" w:hAnsi="Arial" w:cs="Arial"/>
          <w:color w:val="444444"/>
          <w:sz w:val="18"/>
          <w:szCs w:val="18"/>
          <w:lang w:val="en-US"/>
        </w:rPr>
        <w:t xml:space="preserve"> L&amp;D functions inside tech-driven, high-growth start-ups and scale-ups — from the ground up to structured programs across regulated, multi-country environments. Proven track record designing complete learning ecosystems — onboarding, upskilling, reskilling, and career-progression paths — partnering with leaders to identify high-potential talent, and selecting, configuring, and rolling out Learning Management Systems aligned with HR and IT systems that teams actually adopt. Grounded in instructional design and adult learning theory, with a strong bias for turning skill gaps into measurable business impact through learning analytics. Fluent in French, German, and English (plus working Spanish and notions of Italian), and comfortable building process where none exists across distributed, multi-country teams — ready to establish Mistral AI's L&amp;D foundation as its first dedicated hire in this space.</w:t>
      </w:r>
    </w:p>
    <w:p w14:paraId="4CCF7C2C" w14:textId="77777777" w:rsidR="00F5217C" w:rsidRDefault="00000000">
      <w:pPr>
        <w:pBdr>
          <w:bottom w:val="single" w:sz="6" w:space="2" w:color="1B3A6B"/>
        </w:pBdr>
        <w:spacing w:before="280" w:after="120"/>
      </w:pPr>
      <w:r>
        <w:rPr>
          <w:rFonts w:ascii="Arial" w:eastAsia="Arial" w:hAnsi="Arial" w:cs="Arial"/>
          <w:b/>
          <w:bCs/>
          <w:color w:val="1B3A6B"/>
        </w:rPr>
        <w:t>CORE COMPETENCIES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F5217C" w14:paraId="37FAC17A" w14:textId="77777777">
        <w:tc>
          <w:tcPr>
            <w:tcW w:w="4513" w:type="dxa"/>
            <w:tcBorders>
              <w:top w:val="none" w:sz="0" w:space="0" w:color="FFFFFF"/>
              <w:left w:val="none" w:sz="0" w:space="0" w:color="FFFFFF"/>
              <w:bottom w:val="none" w:sz="0" w:space="0" w:color="FFFFFF"/>
              <w:right w:val="none" w:sz="0" w:space="0" w:color="FFFFFF"/>
            </w:tcBorders>
            <w:shd w:val="clear" w:color="auto" w:fill="EEF3FA"/>
            <w:tcMar>
              <w:top w:w="60" w:type="dxa"/>
              <w:left w:w="100" w:type="dxa"/>
              <w:bottom w:w="60" w:type="dxa"/>
              <w:right w:w="100" w:type="dxa"/>
            </w:tcMar>
          </w:tcPr>
          <w:p w14:paraId="4EDB7654" w14:textId="77777777" w:rsidR="00F5217C" w:rsidRPr="005B79DD" w:rsidRDefault="00000000">
            <w:pPr>
              <w:spacing w:before="20" w:after="20"/>
              <w:rPr>
                <w:lang w:val="en-US"/>
              </w:rPr>
            </w:pPr>
            <w:r>
              <w:rPr>
                <w:rFonts w:ascii="Arial" w:eastAsia="Arial" w:hAnsi="Arial" w:cs="Arial"/>
                <w:color w:val="1B3A6B"/>
                <w:sz w:val="17"/>
                <w:szCs w:val="17"/>
                <w:lang w:val="en-US"/>
              </w:rPr>
              <w:t xml:space="preserve">◆  </w:t>
            </w:r>
            <w:r>
              <w:rPr>
                <w:rFonts w:ascii="Arial" w:eastAsia="Arial" w:hAnsi="Arial" w:cs="Arial"/>
                <w:color w:val="444444"/>
                <w:sz w:val="17"/>
                <w:szCs w:val="17"/>
                <w:lang w:val="en-US"/>
              </w:rPr>
              <w:t>L&amp;D Strategy &amp; Skill-Gap Assessment</w:t>
            </w:r>
          </w:p>
        </w:tc>
        <w:tc>
          <w:tcPr>
            <w:tcW w:w="4513" w:type="dxa"/>
            <w:tcBorders>
              <w:top w:val="none" w:sz="0" w:space="0" w:color="FFFFFF"/>
              <w:left w:val="none" w:sz="0" w:space="0" w:color="FFFFFF"/>
              <w:bottom w:val="none" w:sz="0" w:space="0" w:color="FFFFFF"/>
              <w:right w:val="none" w:sz="0" w:space="0" w:color="FFFFFF"/>
            </w:tcBorders>
            <w:shd w:val="clear" w:color="auto" w:fill="EEF3FA"/>
            <w:tcMar>
              <w:top w:w="60" w:type="dxa"/>
              <w:left w:w="100" w:type="dxa"/>
              <w:bottom w:w="60" w:type="dxa"/>
              <w:right w:w="100" w:type="dxa"/>
            </w:tcMar>
          </w:tcPr>
          <w:p w14:paraId="54576641" w14:textId="613267C0" w:rsidR="00F5217C" w:rsidRDefault="00000000">
            <w:pPr>
              <w:spacing w:before="20" w:after="20"/>
            </w:pPr>
            <w:proofErr w:type="gramStart"/>
            <w:r>
              <w:rPr>
                <w:rFonts w:ascii="Arial" w:eastAsia="Arial" w:hAnsi="Arial" w:cs="Arial"/>
                <w:color w:val="1B3A6B"/>
                <w:sz w:val="17"/>
                <w:szCs w:val="17"/>
              </w:rPr>
              <w:t xml:space="preserve">◆  </w:t>
            </w:r>
            <w:r>
              <w:rPr>
                <w:rFonts w:ascii="Arial" w:eastAsia="Arial" w:hAnsi="Arial" w:cs="Arial"/>
                <w:color w:val="444444"/>
                <w:sz w:val="17"/>
                <w:szCs w:val="17"/>
              </w:rPr>
              <w:t>Onboarding</w:t>
            </w:r>
            <w:proofErr w:type="gramEnd"/>
            <w:r>
              <w:rPr>
                <w:rFonts w:ascii="Arial" w:eastAsia="Arial" w:hAnsi="Arial" w:cs="Arial"/>
                <w:color w:val="444444"/>
                <w:sz w:val="17"/>
                <w:szCs w:val="17"/>
              </w:rPr>
              <w:t xml:space="preserve">, </w:t>
            </w:r>
            <w:proofErr w:type="spellStart"/>
            <w:r>
              <w:rPr>
                <w:rFonts w:ascii="Arial" w:eastAsia="Arial" w:hAnsi="Arial" w:cs="Arial"/>
                <w:color w:val="444444"/>
                <w:sz w:val="17"/>
                <w:szCs w:val="17"/>
              </w:rPr>
              <w:t>Upskilling</w:t>
            </w:r>
            <w:proofErr w:type="spellEnd"/>
            <w:r>
              <w:rPr>
                <w:rFonts w:ascii="Arial" w:eastAsia="Arial" w:hAnsi="Arial" w:cs="Arial"/>
                <w:color w:val="444444"/>
                <w:sz w:val="17"/>
                <w:szCs w:val="17"/>
              </w:rPr>
              <w:t xml:space="preserve"> &amp; </w:t>
            </w:r>
            <w:proofErr w:type="spellStart"/>
            <w:r>
              <w:rPr>
                <w:rFonts w:ascii="Arial" w:eastAsia="Arial" w:hAnsi="Arial" w:cs="Arial"/>
                <w:color w:val="444444"/>
                <w:sz w:val="17"/>
                <w:szCs w:val="17"/>
              </w:rPr>
              <w:t>Reskilling</w:t>
            </w:r>
            <w:proofErr w:type="spellEnd"/>
            <w:r>
              <w:rPr>
                <w:rFonts w:ascii="Arial" w:eastAsia="Arial" w:hAnsi="Arial" w:cs="Arial"/>
                <w:color w:val="444444"/>
                <w:sz w:val="17"/>
                <w:szCs w:val="17"/>
              </w:rPr>
              <w:t xml:space="preserve"> </w:t>
            </w:r>
            <w:proofErr w:type="spellStart"/>
            <w:r>
              <w:rPr>
                <w:rFonts w:ascii="Arial" w:eastAsia="Arial" w:hAnsi="Arial" w:cs="Arial"/>
                <w:color w:val="444444"/>
                <w:sz w:val="17"/>
                <w:szCs w:val="17"/>
              </w:rPr>
              <w:t>Programs</w:t>
            </w:r>
            <w:proofErr w:type="spellEnd"/>
          </w:p>
        </w:tc>
      </w:tr>
      <w:tr w:rsidR="00F5217C" w:rsidRPr="00511AAC" w14:paraId="5F6E42B3" w14:textId="77777777">
        <w:tc>
          <w:tcPr>
            <w:tcW w:w="4513" w:type="dxa"/>
            <w:tcBorders>
              <w:top w:val="none" w:sz="0" w:space="0" w:color="FFFFFF"/>
              <w:left w:val="none" w:sz="0" w:space="0" w:color="FFFFFF"/>
              <w:bottom w:val="none" w:sz="0" w:space="0" w:color="FFFFFF"/>
              <w:right w:val="none" w:sz="0" w:space="0" w:color="FFFFFF"/>
            </w:tcBorders>
            <w:shd w:val="clear" w:color="auto" w:fill="EEF3FA"/>
            <w:tcMar>
              <w:top w:w="60" w:type="dxa"/>
              <w:left w:w="100" w:type="dxa"/>
              <w:bottom w:w="60" w:type="dxa"/>
              <w:right w:w="100" w:type="dxa"/>
            </w:tcMar>
          </w:tcPr>
          <w:p w14:paraId="29DD3472" w14:textId="77777777" w:rsidR="00F5217C" w:rsidRPr="00605211" w:rsidRDefault="00000000">
            <w:pPr>
              <w:spacing w:before="20" w:after="20"/>
              <w:rPr>
                <w:lang w:val="en-US"/>
              </w:rPr>
            </w:pPr>
            <w:proofErr w:type="gramStart"/>
            <w:r w:rsidRPr="00605211">
              <w:rPr>
                <w:rFonts w:ascii="Arial" w:eastAsia="Arial" w:hAnsi="Arial" w:cs="Arial"/>
                <w:color w:val="1B3A6B"/>
                <w:sz w:val="17"/>
                <w:szCs w:val="17"/>
                <w:lang w:val="en-US"/>
              </w:rPr>
              <w:t xml:space="preserve">◆  </w:t>
            </w:r>
            <w:r w:rsidRPr="00605211">
              <w:rPr>
                <w:rFonts w:ascii="Arial" w:eastAsia="Arial" w:hAnsi="Arial" w:cs="Arial"/>
                <w:color w:val="444444"/>
                <w:sz w:val="17"/>
                <w:szCs w:val="17"/>
                <w:lang w:val="en-US"/>
              </w:rPr>
              <w:t>LMS</w:t>
            </w:r>
            <w:proofErr w:type="gramEnd"/>
            <w:r w:rsidRPr="00605211">
              <w:rPr>
                <w:rFonts w:ascii="Arial" w:eastAsia="Arial" w:hAnsi="Arial" w:cs="Arial"/>
                <w:color w:val="444444"/>
                <w:sz w:val="17"/>
                <w:szCs w:val="17"/>
                <w:lang w:val="en-US"/>
              </w:rPr>
              <w:t xml:space="preserve"> Selection, Rollout &amp; HR/IT Alignment</w:t>
            </w:r>
          </w:p>
        </w:tc>
        <w:tc>
          <w:tcPr>
            <w:tcW w:w="4513" w:type="dxa"/>
            <w:tcBorders>
              <w:top w:val="none" w:sz="0" w:space="0" w:color="FFFFFF"/>
              <w:left w:val="none" w:sz="0" w:space="0" w:color="FFFFFF"/>
              <w:bottom w:val="none" w:sz="0" w:space="0" w:color="FFFFFF"/>
              <w:right w:val="none" w:sz="0" w:space="0" w:color="FFFFFF"/>
            </w:tcBorders>
            <w:shd w:val="clear" w:color="auto" w:fill="EEF3FA"/>
            <w:tcMar>
              <w:top w:w="60" w:type="dxa"/>
              <w:left w:w="100" w:type="dxa"/>
              <w:bottom w:w="60" w:type="dxa"/>
              <w:right w:w="100" w:type="dxa"/>
            </w:tcMar>
          </w:tcPr>
          <w:p w14:paraId="2631CC10" w14:textId="77777777" w:rsidR="00F5217C" w:rsidRPr="005B79DD" w:rsidRDefault="00000000">
            <w:pPr>
              <w:spacing w:before="20" w:after="20"/>
              <w:rPr>
                <w:lang w:val="en-US"/>
              </w:rPr>
            </w:pPr>
            <w:proofErr w:type="gramStart"/>
            <w:r>
              <w:rPr>
                <w:rFonts w:ascii="Arial" w:eastAsia="Arial" w:hAnsi="Arial" w:cs="Arial"/>
                <w:color w:val="1B3A6B"/>
                <w:sz w:val="17"/>
                <w:szCs w:val="17"/>
                <w:lang w:val="en-US"/>
              </w:rPr>
              <w:t xml:space="preserve">◆  </w:t>
            </w:r>
            <w:r>
              <w:rPr>
                <w:rFonts w:ascii="Arial" w:eastAsia="Arial" w:hAnsi="Arial" w:cs="Arial"/>
                <w:color w:val="444444"/>
                <w:sz w:val="17"/>
                <w:szCs w:val="17"/>
                <w:lang w:val="en-US"/>
              </w:rPr>
              <w:t>Scalable</w:t>
            </w:r>
            <w:proofErr w:type="gramEnd"/>
            <w:r>
              <w:rPr>
                <w:rFonts w:ascii="Arial" w:eastAsia="Arial" w:hAnsi="Arial" w:cs="Arial"/>
                <w:color w:val="444444"/>
                <w:sz w:val="17"/>
                <w:szCs w:val="17"/>
                <w:lang w:val="en-US"/>
              </w:rPr>
              <w:t xml:space="preserve"> Learning Paths &amp; Career Progression</w:t>
            </w:r>
          </w:p>
        </w:tc>
      </w:tr>
      <w:tr w:rsidR="00F5217C" w14:paraId="7F502A56" w14:textId="77777777">
        <w:tc>
          <w:tcPr>
            <w:tcW w:w="4513" w:type="dxa"/>
            <w:tcBorders>
              <w:top w:val="none" w:sz="0" w:space="0" w:color="FFFFFF"/>
              <w:left w:val="none" w:sz="0" w:space="0" w:color="FFFFFF"/>
              <w:bottom w:val="none" w:sz="0" w:space="0" w:color="FFFFFF"/>
              <w:right w:val="none" w:sz="0" w:space="0" w:color="FFFFFF"/>
            </w:tcBorders>
            <w:shd w:val="clear" w:color="auto" w:fill="EEF3FA"/>
            <w:tcMar>
              <w:top w:w="60" w:type="dxa"/>
              <w:left w:w="100" w:type="dxa"/>
              <w:bottom w:w="60" w:type="dxa"/>
              <w:right w:w="100" w:type="dxa"/>
            </w:tcMar>
          </w:tcPr>
          <w:p w14:paraId="2401B268" w14:textId="77777777" w:rsidR="00F5217C" w:rsidRPr="005B79DD" w:rsidRDefault="00000000">
            <w:pPr>
              <w:spacing w:before="20" w:after="20"/>
              <w:rPr>
                <w:lang w:val="en-US"/>
              </w:rPr>
            </w:pPr>
            <w:proofErr w:type="gramStart"/>
            <w:r>
              <w:rPr>
                <w:rFonts w:ascii="Arial" w:eastAsia="Arial" w:hAnsi="Arial" w:cs="Arial"/>
                <w:color w:val="1B3A6B"/>
                <w:sz w:val="17"/>
                <w:szCs w:val="17"/>
                <w:lang w:val="en-US"/>
              </w:rPr>
              <w:t xml:space="preserve">◆  </w:t>
            </w:r>
            <w:r>
              <w:rPr>
                <w:rFonts w:ascii="Arial" w:eastAsia="Arial" w:hAnsi="Arial" w:cs="Arial"/>
                <w:color w:val="444444"/>
                <w:sz w:val="17"/>
                <w:szCs w:val="17"/>
                <w:lang w:val="en-US"/>
              </w:rPr>
              <w:t>Instructional</w:t>
            </w:r>
            <w:proofErr w:type="gramEnd"/>
            <w:r>
              <w:rPr>
                <w:rFonts w:ascii="Arial" w:eastAsia="Arial" w:hAnsi="Arial" w:cs="Arial"/>
                <w:color w:val="444444"/>
                <w:sz w:val="17"/>
                <w:szCs w:val="17"/>
                <w:lang w:val="en-US"/>
              </w:rPr>
              <w:t xml:space="preserve"> Design &amp; Adult Learning Theory</w:t>
            </w:r>
          </w:p>
        </w:tc>
        <w:tc>
          <w:tcPr>
            <w:tcW w:w="4513" w:type="dxa"/>
            <w:tcBorders>
              <w:top w:val="none" w:sz="0" w:space="0" w:color="FFFFFF"/>
              <w:left w:val="none" w:sz="0" w:space="0" w:color="FFFFFF"/>
              <w:bottom w:val="none" w:sz="0" w:space="0" w:color="FFFFFF"/>
              <w:right w:val="none" w:sz="0" w:space="0" w:color="FFFFFF"/>
            </w:tcBorders>
            <w:shd w:val="clear" w:color="auto" w:fill="EEF3FA"/>
            <w:tcMar>
              <w:top w:w="60" w:type="dxa"/>
              <w:left w:w="100" w:type="dxa"/>
              <w:bottom w:w="60" w:type="dxa"/>
              <w:right w:w="100" w:type="dxa"/>
            </w:tcMar>
          </w:tcPr>
          <w:p w14:paraId="70261067" w14:textId="77777777" w:rsidR="00F5217C" w:rsidRDefault="00000000">
            <w:pPr>
              <w:spacing w:before="20" w:after="20"/>
            </w:pPr>
            <w:r>
              <w:rPr>
                <w:rFonts w:ascii="Arial" w:eastAsia="Arial" w:hAnsi="Arial" w:cs="Arial"/>
                <w:color w:val="1B3A6B"/>
                <w:sz w:val="17"/>
                <w:szCs w:val="17"/>
              </w:rPr>
              <w:t xml:space="preserve">◆  </w:t>
            </w:r>
            <w:r>
              <w:rPr>
                <w:rFonts w:ascii="Arial" w:eastAsia="Arial" w:hAnsi="Arial" w:cs="Arial"/>
                <w:color w:val="444444"/>
                <w:sz w:val="17"/>
                <w:szCs w:val="17"/>
              </w:rPr>
              <w:t>Multi-Country Stakeholder Management</w:t>
            </w:r>
          </w:p>
        </w:tc>
      </w:tr>
      <w:tr w:rsidR="00F5217C" w14:paraId="2E2001E2" w14:textId="77777777">
        <w:tc>
          <w:tcPr>
            <w:tcW w:w="4513" w:type="dxa"/>
            <w:tcBorders>
              <w:top w:val="none" w:sz="0" w:space="0" w:color="FFFFFF"/>
              <w:left w:val="none" w:sz="0" w:space="0" w:color="FFFFFF"/>
              <w:bottom w:val="none" w:sz="0" w:space="0" w:color="FFFFFF"/>
              <w:right w:val="none" w:sz="0" w:space="0" w:color="FFFFFF"/>
            </w:tcBorders>
            <w:shd w:val="clear" w:color="auto" w:fill="EEF3FA"/>
            <w:tcMar>
              <w:top w:w="60" w:type="dxa"/>
              <w:left w:w="100" w:type="dxa"/>
              <w:bottom w:w="60" w:type="dxa"/>
              <w:right w:w="100" w:type="dxa"/>
            </w:tcMar>
          </w:tcPr>
          <w:p w14:paraId="41752D3D" w14:textId="77777777" w:rsidR="00F5217C" w:rsidRDefault="00000000">
            <w:pPr>
              <w:spacing w:before="20" w:after="20"/>
            </w:pPr>
            <w:r>
              <w:rPr>
                <w:rFonts w:ascii="Arial" w:eastAsia="Arial" w:hAnsi="Arial" w:cs="Arial"/>
                <w:color w:val="1B3A6B"/>
                <w:sz w:val="17"/>
                <w:szCs w:val="17"/>
              </w:rPr>
              <w:t xml:space="preserve">◆  </w:t>
            </w:r>
            <w:r>
              <w:rPr>
                <w:rFonts w:ascii="Arial" w:eastAsia="Arial" w:hAnsi="Arial" w:cs="Arial"/>
                <w:color w:val="444444"/>
                <w:sz w:val="17"/>
                <w:szCs w:val="17"/>
              </w:rPr>
              <w:t>Learning Analytics &amp; Impact Measurement</w:t>
            </w:r>
          </w:p>
        </w:tc>
        <w:tc>
          <w:tcPr>
            <w:tcW w:w="4513" w:type="dxa"/>
            <w:tcBorders>
              <w:top w:val="none" w:sz="0" w:space="0" w:color="FFFFFF"/>
              <w:left w:val="none" w:sz="0" w:space="0" w:color="FFFFFF"/>
              <w:bottom w:val="none" w:sz="0" w:space="0" w:color="FFFFFF"/>
              <w:right w:val="none" w:sz="0" w:space="0" w:color="FFFFFF"/>
            </w:tcBorders>
            <w:shd w:val="clear" w:color="auto" w:fill="EEF3FA"/>
            <w:tcMar>
              <w:top w:w="60" w:type="dxa"/>
              <w:left w:w="100" w:type="dxa"/>
              <w:bottom w:w="60" w:type="dxa"/>
              <w:right w:w="100" w:type="dxa"/>
            </w:tcMar>
          </w:tcPr>
          <w:p w14:paraId="47554AB6" w14:textId="77777777" w:rsidR="00F5217C" w:rsidRDefault="00000000">
            <w:pPr>
              <w:spacing w:before="20" w:after="20"/>
            </w:pPr>
            <w:r>
              <w:rPr>
                <w:rFonts w:ascii="Arial" w:eastAsia="Arial" w:hAnsi="Arial" w:cs="Arial"/>
                <w:color w:val="1B3A6B"/>
                <w:sz w:val="17"/>
                <w:szCs w:val="17"/>
              </w:rPr>
              <w:t xml:space="preserve">◆  </w:t>
            </w:r>
            <w:r>
              <w:rPr>
                <w:rFonts w:ascii="Arial" w:eastAsia="Arial" w:hAnsi="Arial" w:cs="Arial"/>
                <w:color w:val="444444"/>
                <w:sz w:val="17"/>
                <w:szCs w:val="17"/>
              </w:rPr>
              <w:t>External Content Sourcing &amp; Partnerships</w:t>
            </w:r>
          </w:p>
        </w:tc>
      </w:tr>
      <w:tr w:rsidR="00F5217C" w:rsidRPr="00583F80" w14:paraId="53F75D2F" w14:textId="77777777">
        <w:tc>
          <w:tcPr>
            <w:tcW w:w="4513" w:type="dxa"/>
            <w:tcBorders>
              <w:top w:val="none" w:sz="0" w:space="0" w:color="FFFFFF"/>
              <w:left w:val="none" w:sz="0" w:space="0" w:color="FFFFFF"/>
              <w:bottom w:val="none" w:sz="0" w:space="0" w:color="FFFFFF"/>
              <w:right w:val="none" w:sz="0" w:space="0" w:color="FFFFFF"/>
            </w:tcBorders>
            <w:shd w:val="clear" w:color="auto" w:fill="EEF3FA"/>
            <w:tcMar>
              <w:top w:w="60" w:type="dxa"/>
              <w:left w:w="100" w:type="dxa"/>
              <w:bottom w:w="60" w:type="dxa"/>
              <w:right w:w="100" w:type="dxa"/>
            </w:tcMar>
          </w:tcPr>
          <w:p w14:paraId="1CF505CF" w14:textId="77777777" w:rsidR="00F5217C" w:rsidRPr="005B79DD" w:rsidRDefault="00000000">
            <w:pPr>
              <w:spacing w:before="20" w:after="20"/>
              <w:rPr>
                <w:lang w:val="en-US"/>
              </w:rPr>
            </w:pPr>
            <w:r>
              <w:rPr>
                <w:rFonts w:ascii="Arial" w:eastAsia="Arial" w:hAnsi="Arial" w:cs="Arial"/>
                <w:color w:val="1B3A6B"/>
                <w:sz w:val="17"/>
                <w:szCs w:val="17"/>
                <w:lang w:val="en-US"/>
              </w:rPr>
              <w:t xml:space="preserve">◆  </w:t>
            </w:r>
            <w:r>
              <w:rPr>
                <w:rFonts w:ascii="Arial" w:eastAsia="Arial" w:hAnsi="Arial" w:cs="Arial"/>
                <w:color w:val="444444"/>
                <w:sz w:val="17"/>
                <w:szCs w:val="17"/>
                <w:lang w:val="en-US"/>
              </w:rPr>
              <w:t>High-Growth / Start-Up L&amp;D Leadership</w:t>
            </w:r>
          </w:p>
        </w:tc>
        <w:tc>
          <w:tcPr>
            <w:tcW w:w="4513" w:type="dxa"/>
            <w:tcBorders>
              <w:top w:val="none" w:sz="0" w:space="0" w:color="FFFFFF"/>
              <w:left w:val="none" w:sz="0" w:space="0" w:color="FFFFFF"/>
              <w:bottom w:val="none" w:sz="0" w:space="0" w:color="FFFFFF"/>
              <w:right w:val="none" w:sz="0" w:space="0" w:color="FFFFFF"/>
            </w:tcBorders>
            <w:shd w:val="clear" w:color="auto" w:fill="EEF3FA"/>
            <w:tcMar>
              <w:top w:w="60" w:type="dxa"/>
              <w:left w:w="100" w:type="dxa"/>
              <w:bottom w:w="60" w:type="dxa"/>
              <w:right w:w="100" w:type="dxa"/>
            </w:tcMar>
          </w:tcPr>
          <w:p w14:paraId="7EEC8D58" w14:textId="77777777" w:rsidR="00F5217C" w:rsidRPr="005B79DD" w:rsidRDefault="00000000">
            <w:pPr>
              <w:spacing w:before="20" w:after="20"/>
              <w:rPr>
                <w:lang w:val="en-US"/>
              </w:rPr>
            </w:pPr>
            <w:r>
              <w:rPr>
                <w:rFonts w:ascii="Arial" w:eastAsia="Arial" w:hAnsi="Arial" w:cs="Arial"/>
                <w:color w:val="1B3A6B"/>
                <w:sz w:val="17"/>
                <w:szCs w:val="17"/>
                <w:lang w:val="en-US"/>
              </w:rPr>
              <w:t xml:space="preserve">◆  </w:t>
            </w:r>
            <w:r>
              <w:rPr>
                <w:rFonts w:ascii="Arial" w:eastAsia="Arial" w:hAnsi="Arial" w:cs="Arial"/>
                <w:color w:val="444444"/>
                <w:sz w:val="17"/>
                <w:szCs w:val="17"/>
                <w:lang w:val="en-US"/>
              </w:rPr>
              <w:t>High-Potential Identification &amp; Coaching</w:t>
            </w:r>
          </w:p>
        </w:tc>
      </w:tr>
    </w:tbl>
    <w:p w14:paraId="53BEA36C" w14:textId="77777777" w:rsidR="00F5217C" w:rsidRPr="005B79DD" w:rsidRDefault="00000000">
      <w:pPr>
        <w:pBdr>
          <w:bottom w:val="single" w:sz="6" w:space="2" w:color="1B3A6B"/>
        </w:pBdr>
        <w:spacing w:before="280" w:after="120"/>
        <w:rPr>
          <w:lang w:val="en-US"/>
        </w:rPr>
      </w:pPr>
      <w:r>
        <w:rPr>
          <w:rFonts w:ascii="Arial" w:eastAsia="Arial" w:hAnsi="Arial" w:cs="Arial"/>
          <w:b/>
          <w:bCs/>
          <w:color w:val="1B3A6B"/>
          <w:lang w:val="en-US"/>
        </w:rPr>
        <w:t>PROFESSIONAL EXPERIENCE</w:t>
      </w:r>
    </w:p>
    <w:p w14:paraId="53904DC9" w14:textId="3A3DED5B" w:rsidR="00F5217C" w:rsidRPr="005B79DD" w:rsidRDefault="00000000">
      <w:pPr>
        <w:tabs>
          <w:tab w:val="right" w:pos="9026"/>
        </w:tabs>
        <w:spacing w:before="180" w:after="40"/>
        <w:rPr>
          <w:lang w:val="en-US"/>
        </w:rPr>
      </w:pPr>
      <w:r>
        <w:rPr>
          <w:rFonts w:ascii="Arial" w:eastAsia="Arial" w:hAnsi="Arial" w:cs="Arial"/>
          <w:b/>
          <w:bCs/>
          <w:color w:val="1B3A6B"/>
          <w:lang w:val="en-US"/>
        </w:rPr>
        <w:t xml:space="preserve">Learning &amp; Development </w:t>
      </w:r>
      <w:proofErr w:type="gramStart"/>
      <w:r>
        <w:rPr>
          <w:rFonts w:ascii="Arial" w:eastAsia="Arial" w:hAnsi="Arial" w:cs="Arial"/>
          <w:b/>
          <w:bCs/>
          <w:color w:val="1B3A6B"/>
          <w:lang w:val="en-US"/>
        </w:rPr>
        <w:t>Manager</w:t>
      </w:r>
      <w:r>
        <w:rPr>
          <w:rFonts w:ascii="Arial" w:eastAsia="Arial" w:hAnsi="Arial" w:cs="Arial"/>
          <w:color w:val="666666"/>
          <w:lang w:val="en-US"/>
        </w:rPr>
        <w:t xml:space="preserve">  |</w:t>
      </w:r>
      <w:proofErr w:type="gramEnd"/>
      <w:r>
        <w:rPr>
          <w:rFonts w:ascii="Arial" w:eastAsia="Arial" w:hAnsi="Arial" w:cs="Arial"/>
          <w:color w:val="666666"/>
          <w:lang w:val="en-US"/>
        </w:rPr>
        <w:t xml:space="preserve"> </w:t>
      </w:r>
      <w:hyperlink r:id="rId8" w:history="1">
        <w:r w:rsidR="00F5217C" w:rsidRPr="00546F29">
          <w:rPr>
            <w:rStyle w:val="Hyperlink"/>
            <w:rFonts w:ascii="Arial" w:eastAsia="Arial" w:hAnsi="Arial" w:cs="Arial"/>
            <w:lang w:val="en-US"/>
          </w:rPr>
          <w:t xml:space="preserve"> Rail4mation </w:t>
        </w:r>
      </w:hyperlink>
      <w:r>
        <w:rPr>
          <w:rFonts w:ascii="Arial" w:eastAsia="Arial" w:hAnsi="Arial" w:cs="Arial"/>
          <w:color w:val="444444"/>
          <w:lang w:val="en-US"/>
        </w:rPr>
        <w:t>Training Center — Switzerland</w:t>
      </w:r>
      <w:r>
        <w:rPr>
          <w:rFonts w:ascii="Arial" w:eastAsia="Arial" w:hAnsi="Arial" w:cs="Arial"/>
          <w:i/>
          <w:iCs/>
          <w:color w:val="666666"/>
          <w:sz w:val="18"/>
          <w:szCs w:val="18"/>
          <w:lang w:val="en-US"/>
        </w:rPr>
        <w:tab/>
        <w:t>2025 – Present</w:t>
      </w:r>
    </w:p>
    <w:p w14:paraId="6204F2E8" w14:textId="77777777" w:rsidR="00F5217C" w:rsidRPr="005B79DD" w:rsidRDefault="00000000" w:rsidP="00605211">
      <w:pPr>
        <w:pStyle w:val="Listenabsatz"/>
        <w:numPr>
          <w:ilvl w:val="0"/>
          <w:numId w:val="10"/>
        </w:numPr>
        <w:spacing w:before="20" w:after="20"/>
        <w:rPr>
          <w:lang w:val="en-US"/>
        </w:rPr>
      </w:pPr>
      <w:r>
        <w:rPr>
          <w:rFonts w:ascii="Arial" w:eastAsia="Arial" w:hAnsi="Arial" w:cs="Arial"/>
          <w:color w:val="444444"/>
          <w:sz w:val="18"/>
          <w:szCs w:val="18"/>
          <w:lang w:val="en-US"/>
        </w:rPr>
        <w:t>Own the end-to-end L&amp;D strategy for the Swiss rail sector — from skill-gap assessment to program design and rollout — reaching 4,000+ learners per year across distributed, cross-functional teams.</w:t>
      </w:r>
    </w:p>
    <w:p w14:paraId="72E794C8" w14:textId="77777777" w:rsidR="00F5217C" w:rsidRPr="005B79DD" w:rsidRDefault="00000000" w:rsidP="00605211">
      <w:pPr>
        <w:pStyle w:val="Listenabsatz"/>
        <w:numPr>
          <w:ilvl w:val="0"/>
          <w:numId w:val="10"/>
        </w:numPr>
        <w:spacing w:before="20" w:after="20"/>
        <w:rPr>
          <w:lang w:val="en-US"/>
        </w:rPr>
      </w:pPr>
      <w:r>
        <w:rPr>
          <w:rFonts w:ascii="Arial" w:eastAsia="Arial" w:hAnsi="Arial" w:cs="Arial"/>
          <w:color w:val="444444"/>
          <w:sz w:val="18"/>
          <w:szCs w:val="18"/>
          <w:lang w:val="en-US"/>
        </w:rPr>
        <w:t>Built modular, competency-based learning paths for onboarding, upskilling, and career progression across technical and operational roles — the same scalable learning-path architecture a first L&amp;D hire needs to establish from scratch.</w:t>
      </w:r>
    </w:p>
    <w:p w14:paraId="3943A914" w14:textId="77777777" w:rsidR="00F5217C" w:rsidRPr="005B79DD" w:rsidRDefault="00000000" w:rsidP="00605211">
      <w:pPr>
        <w:pStyle w:val="Listenabsatz"/>
        <w:numPr>
          <w:ilvl w:val="0"/>
          <w:numId w:val="10"/>
        </w:numPr>
        <w:spacing w:before="20" w:after="20"/>
        <w:rPr>
          <w:lang w:val="en-US"/>
        </w:rPr>
      </w:pPr>
      <w:r>
        <w:rPr>
          <w:rFonts w:ascii="Arial" w:eastAsia="Arial" w:hAnsi="Arial" w:cs="Arial"/>
          <w:color w:val="444444"/>
          <w:sz w:val="18"/>
          <w:szCs w:val="18"/>
          <w:lang w:val="en-US"/>
        </w:rPr>
        <w:t>Selected, configured, and manage the LMS (Moodle/LearnDash), aligning it with HR and IT systems and integrating SCORM e-learning, simulation-based training, and gamification into one blended learning ecosystem.</w:t>
      </w:r>
    </w:p>
    <w:p w14:paraId="73BA37CF" w14:textId="77777777" w:rsidR="00F5217C" w:rsidRPr="005B79DD" w:rsidRDefault="00000000" w:rsidP="00605211">
      <w:pPr>
        <w:pStyle w:val="Listenabsatz"/>
        <w:numPr>
          <w:ilvl w:val="0"/>
          <w:numId w:val="10"/>
        </w:numPr>
        <w:spacing w:before="20" w:after="20"/>
        <w:rPr>
          <w:lang w:val="en-US"/>
        </w:rPr>
      </w:pPr>
      <w:r>
        <w:rPr>
          <w:rFonts w:ascii="Arial" w:eastAsia="Arial" w:hAnsi="Arial" w:cs="Arial"/>
          <w:color w:val="444444"/>
          <w:sz w:val="18"/>
          <w:szCs w:val="18"/>
          <w:lang w:val="en-US"/>
        </w:rPr>
        <w:t>Partner with department leaders to identify high-potential employees and build individual development plans, while owning the annual training calendar, instructor resourcing, and cross-team logistics.</w:t>
      </w:r>
    </w:p>
    <w:p w14:paraId="49FBEE58" w14:textId="77777777" w:rsidR="00F5217C" w:rsidRPr="005B79DD" w:rsidRDefault="00000000" w:rsidP="00605211">
      <w:pPr>
        <w:pStyle w:val="Listenabsatz"/>
        <w:numPr>
          <w:ilvl w:val="0"/>
          <w:numId w:val="10"/>
        </w:numPr>
        <w:spacing w:before="20" w:after="20"/>
        <w:rPr>
          <w:lang w:val="en-US"/>
        </w:rPr>
      </w:pPr>
      <w:r>
        <w:rPr>
          <w:rFonts w:ascii="Arial" w:eastAsia="Arial" w:hAnsi="Arial" w:cs="Arial"/>
          <w:color w:val="444444"/>
          <w:sz w:val="18"/>
          <w:szCs w:val="18"/>
          <w:lang w:val="en-US"/>
        </w:rPr>
        <w:t>Lead and coach a team of training coordinators, embedding consistent process across scheduling, delivery, and learner reporting.</w:t>
      </w:r>
    </w:p>
    <w:p w14:paraId="60F38068" w14:textId="04E84BDE" w:rsidR="00F5217C" w:rsidRPr="005B79DD" w:rsidRDefault="00511AAC">
      <w:pPr>
        <w:tabs>
          <w:tab w:val="right" w:pos="9026"/>
        </w:tabs>
        <w:spacing w:before="180" w:after="40"/>
        <w:rPr>
          <w:lang w:val="en-US"/>
        </w:rPr>
      </w:pPr>
      <w:r>
        <w:rPr>
          <w:rFonts w:ascii="Arial" w:eastAsia="Arial" w:hAnsi="Arial" w:cs="Arial"/>
          <w:b/>
          <w:bCs/>
          <w:color w:val="1B3A6B"/>
          <w:lang w:val="en-US"/>
        </w:rPr>
        <w:t xml:space="preserve">Cofounder, part-time </w:t>
      </w:r>
      <w:r w:rsidR="00000000">
        <w:rPr>
          <w:rFonts w:ascii="Arial" w:eastAsia="Arial" w:hAnsi="Arial" w:cs="Arial"/>
          <w:b/>
          <w:bCs/>
          <w:color w:val="1B3A6B"/>
          <w:lang w:val="en-US"/>
        </w:rPr>
        <w:t xml:space="preserve">L&amp; D </w:t>
      </w:r>
      <w:r>
        <w:rPr>
          <w:rFonts w:ascii="Arial" w:eastAsia="Arial" w:hAnsi="Arial" w:cs="Arial"/>
          <w:b/>
          <w:bCs/>
          <w:color w:val="1B3A6B"/>
          <w:lang w:val="en-US"/>
        </w:rPr>
        <w:t>Manager</w:t>
      </w:r>
      <w:r>
        <w:rPr>
          <w:rFonts w:ascii="Arial" w:eastAsia="Arial" w:hAnsi="Arial" w:cs="Arial"/>
          <w:color w:val="666666"/>
          <w:lang w:val="en-US"/>
        </w:rPr>
        <w:t xml:space="preserve"> |</w:t>
      </w:r>
      <w:r w:rsidR="00000000">
        <w:rPr>
          <w:rFonts w:ascii="Arial" w:eastAsia="Arial" w:hAnsi="Arial" w:cs="Arial"/>
          <w:color w:val="666666"/>
          <w:lang w:val="en-US"/>
        </w:rPr>
        <w:t xml:space="preserve"> </w:t>
      </w:r>
      <w:hyperlink r:id="rId9" w:history="1">
        <w:r w:rsidR="00F5217C" w:rsidRPr="00546F29">
          <w:rPr>
            <w:rStyle w:val="Hyperlink"/>
            <w:rFonts w:ascii="Arial" w:eastAsia="Arial" w:hAnsi="Arial" w:cs="Arial"/>
            <w:lang w:val="en-US"/>
          </w:rPr>
          <w:t xml:space="preserve"> </w:t>
        </w:r>
        <w:proofErr w:type="spellStart"/>
        <w:r w:rsidR="00F5217C" w:rsidRPr="00546F29">
          <w:rPr>
            <w:rStyle w:val="Hyperlink"/>
            <w:rFonts w:ascii="Arial" w:eastAsia="Arial" w:hAnsi="Arial" w:cs="Arial"/>
            <w:lang w:val="en-US"/>
          </w:rPr>
          <w:t>Formatrix</w:t>
        </w:r>
        <w:proofErr w:type="spellEnd"/>
        <w:r w:rsidR="00F5217C" w:rsidRPr="00546F29">
          <w:rPr>
            <w:rStyle w:val="Hyperlink"/>
            <w:rFonts w:ascii="Arial" w:eastAsia="Arial" w:hAnsi="Arial" w:cs="Arial"/>
            <w:lang w:val="en-US"/>
          </w:rPr>
          <w:t xml:space="preserve"> </w:t>
        </w:r>
      </w:hyperlink>
      <w:r w:rsidR="00000000">
        <w:rPr>
          <w:rFonts w:ascii="Arial" w:eastAsia="Arial" w:hAnsi="Arial" w:cs="Arial"/>
          <w:color w:val="444444"/>
          <w:lang w:val="en-US"/>
        </w:rPr>
        <w:t>Training Agency — Mulhouse</w:t>
      </w:r>
      <w:r w:rsidR="00000000">
        <w:rPr>
          <w:rFonts w:ascii="Arial" w:eastAsia="Arial" w:hAnsi="Arial" w:cs="Arial"/>
          <w:i/>
          <w:iCs/>
          <w:color w:val="666666"/>
          <w:sz w:val="18"/>
          <w:szCs w:val="18"/>
          <w:lang w:val="en-US"/>
        </w:rPr>
        <w:tab/>
        <w:t xml:space="preserve">2024-Present </w:t>
      </w:r>
    </w:p>
    <w:p w14:paraId="7891F8D5" w14:textId="77777777" w:rsidR="00F5217C" w:rsidRPr="005B79DD" w:rsidRDefault="00000000" w:rsidP="00605211">
      <w:pPr>
        <w:pStyle w:val="Listenabsatz"/>
        <w:numPr>
          <w:ilvl w:val="0"/>
          <w:numId w:val="11"/>
        </w:numPr>
        <w:spacing w:before="20" w:after="20"/>
        <w:rPr>
          <w:lang w:val="en-US"/>
        </w:rPr>
      </w:pPr>
      <w:r>
        <w:rPr>
          <w:rFonts w:ascii="Arial" w:eastAsia="Arial" w:hAnsi="Arial" w:cs="Arial"/>
          <w:color w:val="444444"/>
          <w:sz w:val="18"/>
          <w:szCs w:val="18"/>
          <w:lang w:val="en-US"/>
        </w:rPr>
        <w:t>Directed the design and delivery of 15+ e-learning and blended training programs across technical and operational topics for a high-growth training agency — reaching 600+ learners annually through a team of 40 trainers.</w:t>
      </w:r>
    </w:p>
    <w:p w14:paraId="13040888" w14:textId="77777777" w:rsidR="00F5217C" w:rsidRPr="005B79DD" w:rsidRDefault="00000000" w:rsidP="00605211">
      <w:pPr>
        <w:pStyle w:val="Listenabsatz"/>
        <w:numPr>
          <w:ilvl w:val="0"/>
          <w:numId w:val="11"/>
        </w:numPr>
        <w:spacing w:before="20" w:after="20"/>
        <w:rPr>
          <w:lang w:val="en-US"/>
        </w:rPr>
      </w:pPr>
      <w:r>
        <w:rPr>
          <w:rFonts w:ascii="Arial" w:eastAsia="Arial" w:hAnsi="Arial" w:cs="Arial"/>
          <w:color w:val="444444"/>
          <w:sz w:val="18"/>
          <w:szCs w:val="18"/>
          <w:lang w:val="en-US"/>
        </w:rPr>
        <w:t>Led 400+ training and content-design projects on a €1.2M total budget — all delivered on time, on budget, and to a consistent quality bar.</w:t>
      </w:r>
    </w:p>
    <w:p w14:paraId="1CC7F458" w14:textId="77777777" w:rsidR="00F5217C" w:rsidRPr="005B79DD" w:rsidRDefault="00000000" w:rsidP="00605211">
      <w:pPr>
        <w:pStyle w:val="Listenabsatz"/>
        <w:numPr>
          <w:ilvl w:val="0"/>
          <w:numId w:val="11"/>
        </w:numPr>
        <w:spacing w:before="20" w:after="20"/>
        <w:rPr>
          <w:lang w:val="en-US"/>
        </w:rPr>
      </w:pPr>
      <w:r>
        <w:rPr>
          <w:rFonts w:ascii="Arial" w:eastAsia="Arial" w:hAnsi="Arial" w:cs="Arial"/>
          <w:color w:val="444444"/>
          <w:sz w:val="18"/>
          <w:szCs w:val="18"/>
          <w:lang w:val="en-US"/>
        </w:rPr>
        <w:t xml:space="preserve">Designed train-the-trainer programs, communities of practice, and a scalable e-learning ecosystem (Moodle, </w:t>
      </w:r>
      <w:proofErr w:type="gramStart"/>
      <w:r>
        <w:rPr>
          <w:rFonts w:ascii="Arial" w:eastAsia="Arial" w:hAnsi="Arial" w:cs="Arial"/>
          <w:color w:val="444444"/>
          <w:sz w:val="18"/>
          <w:szCs w:val="18"/>
          <w:lang w:val="en-US"/>
        </w:rPr>
        <w:t>Articulate</w:t>
      </w:r>
      <w:proofErr w:type="gramEnd"/>
      <w:r>
        <w:rPr>
          <w:rFonts w:ascii="Arial" w:eastAsia="Arial" w:hAnsi="Arial" w:cs="Arial"/>
          <w:color w:val="444444"/>
          <w:sz w:val="18"/>
          <w:szCs w:val="18"/>
          <w:lang w:val="en-US"/>
        </w:rPr>
        <w:t xml:space="preserve"> 360, Nolej AI, </w:t>
      </w:r>
      <w:proofErr w:type="gramStart"/>
      <w:r>
        <w:rPr>
          <w:rFonts w:ascii="Arial" w:eastAsia="Arial" w:hAnsi="Arial" w:cs="Arial"/>
          <w:color w:val="444444"/>
          <w:sz w:val="18"/>
          <w:szCs w:val="18"/>
          <w:lang w:val="en-US"/>
        </w:rPr>
        <w:t>H5P) —</w:t>
      </w:r>
      <w:proofErr w:type="gramEnd"/>
      <w:r>
        <w:rPr>
          <w:rFonts w:ascii="Arial" w:eastAsia="Arial" w:hAnsi="Arial" w:cs="Arial"/>
          <w:color w:val="444444"/>
          <w:sz w:val="18"/>
          <w:szCs w:val="18"/>
          <w:lang w:val="en-US"/>
        </w:rPr>
        <w:t xml:space="preserve"> building capability, not just content, while piloting AI-assisted content generation to speed up design cycles.</w:t>
      </w:r>
    </w:p>
    <w:p w14:paraId="3DF58A84" w14:textId="77777777" w:rsidR="00F5217C" w:rsidRPr="00605211" w:rsidRDefault="00000000" w:rsidP="00605211">
      <w:pPr>
        <w:pStyle w:val="Listenabsatz"/>
        <w:numPr>
          <w:ilvl w:val="0"/>
          <w:numId w:val="11"/>
        </w:numPr>
        <w:spacing w:before="20" w:after="20"/>
        <w:rPr>
          <w:lang w:val="en-US"/>
        </w:rPr>
      </w:pPr>
      <w:r>
        <w:rPr>
          <w:rFonts w:ascii="Arial" w:eastAsia="Arial" w:hAnsi="Arial" w:cs="Arial"/>
          <w:color w:val="444444"/>
          <w:sz w:val="18"/>
          <w:szCs w:val="18"/>
          <w:lang w:val="en-US"/>
        </w:rPr>
        <w:t>Implemented learning analytics dashboards tracking completion rates, quiz scores, and training ROI — turning L&amp;D into a measurable, data-driven function.</w:t>
      </w:r>
    </w:p>
    <w:p w14:paraId="247AAA96" w14:textId="77777777" w:rsidR="00605211" w:rsidRDefault="00605211" w:rsidP="00605211">
      <w:pPr>
        <w:spacing w:before="20" w:after="20"/>
        <w:rPr>
          <w:lang w:val="en-US"/>
        </w:rPr>
      </w:pPr>
    </w:p>
    <w:p w14:paraId="48A4A7FD" w14:textId="77777777" w:rsidR="00123F3E" w:rsidRDefault="00123F3E" w:rsidP="00605211">
      <w:pPr>
        <w:spacing w:before="20" w:after="20"/>
        <w:rPr>
          <w:lang w:val="en-US"/>
        </w:rPr>
      </w:pPr>
    </w:p>
    <w:p w14:paraId="36441740" w14:textId="77777777" w:rsidR="00123F3E" w:rsidRDefault="00123F3E" w:rsidP="00605211">
      <w:pPr>
        <w:spacing w:before="20" w:after="20"/>
        <w:rPr>
          <w:lang w:val="en-US"/>
        </w:rPr>
      </w:pPr>
    </w:p>
    <w:p w14:paraId="515455AE" w14:textId="77777777" w:rsidR="00123F3E" w:rsidRPr="00605211" w:rsidRDefault="00123F3E" w:rsidP="00605211">
      <w:pPr>
        <w:spacing w:before="20" w:after="20"/>
        <w:rPr>
          <w:lang w:val="en-US"/>
        </w:rPr>
      </w:pPr>
    </w:p>
    <w:p w14:paraId="0FCFCCC9" w14:textId="736AD20D" w:rsidR="00F5217C" w:rsidRDefault="00000000">
      <w:pPr>
        <w:tabs>
          <w:tab w:val="right" w:pos="9026"/>
        </w:tabs>
        <w:spacing w:before="180" w:after="40"/>
      </w:pPr>
      <w:r>
        <w:rPr>
          <w:rFonts w:ascii="Arial" w:eastAsia="Arial" w:hAnsi="Arial" w:cs="Arial"/>
          <w:b/>
          <w:bCs/>
          <w:color w:val="1B3A6B"/>
        </w:rPr>
        <w:lastRenderedPageBreak/>
        <w:t xml:space="preserve">Cybersecurity L&amp;D </w:t>
      </w:r>
      <w:proofErr w:type="gramStart"/>
      <w:r>
        <w:rPr>
          <w:rFonts w:ascii="Arial" w:eastAsia="Arial" w:hAnsi="Arial" w:cs="Arial"/>
          <w:b/>
          <w:bCs/>
          <w:color w:val="1B3A6B"/>
        </w:rPr>
        <w:t>Manager</w:t>
      </w:r>
      <w:r>
        <w:rPr>
          <w:rFonts w:ascii="Arial" w:eastAsia="Arial" w:hAnsi="Arial" w:cs="Arial"/>
          <w:color w:val="666666"/>
        </w:rPr>
        <w:t xml:space="preserve">  |</w:t>
      </w:r>
      <w:proofErr w:type="gramEnd"/>
      <w:r>
        <w:rPr>
          <w:rFonts w:ascii="Arial" w:eastAsia="Arial" w:hAnsi="Arial" w:cs="Arial"/>
          <w:color w:val="666666"/>
        </w:rPr>
        <w:t xml:space="preserve"> </w:t>
      </w:r>
      <w:hyperlink r:id="rId10" w:history="1">
        <w:r w:rsidR="00F5217C" w:rsidRPr="00546F29">
          <w:rPr>
            <w:rStyle w:val="Hyperlink"/>
            <w:rFonts w:ascii="Arial" w:eastAsia="Arial" w:hAnsi="Arial" w:cs="Arial"/>
          </w:rPr>
          <w:t xml:space="preserve"> Axians </w:t>
        </w:r>
        <w:proofErr w:type="spellStart"/>
        <w:r w:rsidR="00F5217C" w:rsidRPr="00546F29">
          <w:rPr>
            <w:rStyle w:val="Hyperlink"/>
            <w:rFonts w:ascii="Arial" w:eastAsia="Arial" w:hAnsi="Arial" w:cs="Arial"/>
          </w:rPr>
          <w:t>Cybersecurity</w:t>
        </w:r>
        <w:proofErr w:type="spellEnd"/>
      </w:hyperlink>
      <w:r>
        <w:rPr>
          <w:rFonts w:ascii="Arial" w:eastAsia="Arial" w:hAnsi="Arial" w:cs="Arial"/>
          <w:color w:val="444444"/>
        </w:rPr>
        <w:t xml:space="preserve"> (Vinci Energies) — Basel</w:t>
      </w:r>
      <w:r>
        <w:rPr>
          <w:rFonts w:ascii="Arial" w:eastAsia="Arial" w:hAnsi="Arial" w:cs="Arial"/>
          <w:i/>
          <w:iCs/>
          <w:color w:val="666666"/>
          <w:sz w:val="18"/>
          <w:szCs w:val="18"/>
        </w:rPr>
        <w:tab/>
        <w:t>2023</w:t>
      </w:r>
    </w:p>
    <w:p w14:paraId="31F004E6" w14:textId="09DCA163" w:rsidR="00F5217C" w:rsidRPr="005B79DD" w:rsidRDefault="00511AAC" w:rsidP="00605211">
      <w:pPr>
        <w:pStyle w:val="Listenabsatz"/>
        <w:numPr>
          <w:ilvl w:val="0"/>
          <w:numId w:val="12"/>
        </w:numPr>
        <w:spacing w:before="20" w:after="20"/>
        <w:rPr>
          <w:lang w:val="en-US"/>
        </w:rPr>
      </w:pPr>
      <w:r w:rsidRPr="00511AAC">
        <w:rPr>
          <w:rFonts w:ascii="Arial" w:eastAsia="Arial" w:hAnsi="Arial" w:cs="Arial"/>
          <w:color w:val="444444"/>
          <w:sz w:val="18"/>
          <w:szCs w:val="18"/>
          <w:lang w:val="en-US"/>
        </w:rPr>
        <w:t>Co-designed technical learning paths alongside Senior Cybersecurity Engineers &amp; IT Leaders</w:t>
      </w:r>
      <w:r w:rsidR="00000000">
        <w:rPr>
          <w:rFonts w:ascii="Arial" w:eastAsia="Arial" w:hAnsi="Arial" w:cs="Arial"/>
          <w:color w:val="444444"/>
          <w:sz w:val="18"/>
          <w:szCs w:val="18"/>
          <w:lang w:val="en-US"/>
        </w:rPr>
        <w:t xml:space="preserve"> and </w:t>
      </w:r>
      <w:r>
        <w:rPr>
          <w:rFonts w:ascii="Arial" w:eastAsia="Arial" w:hAnsi="Arial" w:cs="Arial"/>
          <w:color w:val="444444"/>
          <w:sz w:val="18"/>
          <w:szCs w:val="18"/>
          <w:lang w:val="en-US"/>
        </w:rPr>
        <w:t xml:space="preserve">deployment of </w:t>
      </w:r>
      <w:r w:rsidR="00000000">
        <w:rPr>
          <w:rFonts w:ascii="Arial" w:eastAsia="Arial" w:hAnsi="Arial" w:cs="Arial"/>
          <w:color w:val="444444"/>
          <w:sz w:val="18"/>
          <w:szCs w:val="18"/>
          <w:lang w:val="en-US"/>
        </w:rPr>
        <w:t xml:space="preserve">cybersecurity awareness </w:t>
      </w:r>
      <w:r>
        <w:rPr>
          <w:rFonts w:ascii="Arial" w:eastAsia="Arial" w:hAnsi="Arial" w:cs="Arial"/>
          <w:color w:val="444444"/>
          <w:sz w:val="18"/>
          <w:szCs w:val="18"/>
          <w:lang w:val="en-US"/>
        </w:rPr>
        <w:t>training</w:t>
      </w:r>
      <w:r w:rsidR="00000000">
        <w:rPr>
          <w:rFonts w:ascii="Arial" w:eastAsia="Arial" w:hAnsi="Arial" w:cs="Arial"/>
          <w:color w:val="444444"/>
          <w:sz w:val="18"/>
          <w:szCs w:val="18"/>
          <w:lang w:val="en-US"/>
        </w:rPr>
        <w:t xml:space="preserve"> for 50+ enterprise clients across the DACH region and international markets — multi-country program design from day one.</w:t>
      </w:r>
    </w:p>
    <w:p w14:paraId="5FF8C923" w14:textId="77777777" w:rsidR="00F5217C" w:rsidRPr="005B79DD" w:rsidRDefault="00000000" w:rsidP="00605211">
      <w:pPr>
        <w:pStyle w:val="Listenabsatz"/>
        <w:numPr>
          <w:ilvl w:val="0"/>
          <w:numId w:val="12"/>
        </w:numPr>
        <w:spacing w:before="20" w:after="20"/>
        <w:rPr>
          <w:lang w:val="en-US"/>
        </w:rPr>
      </w:pPr>
      <w:r>
        <w:rPr>
          <w:rFonts w:ascii="Arial" w:eastAsia="Arial" w:hAnsi="Arial" w:cs="Arial"/>
          <w:color w:val="444444"/>
          <w:sz w:val="18"/>
          <w:szCs w:val="18"/>
          <w:lang w:val="en-US"/>
        </w:rPr>
        <w:t>Achieved a 35% improvement in measured competency through structured, multi-channel learning programs — proof of translating technical complexity into measurable skill gains.</w:t>
      </w:r>
    </w:p>
    <w:p w14:paraId="66493EE5" w14:textId="77777777" w:rsidR="00F5217C" w:rsidRPr="005B79DD" w:rsidRDefault="00000000" w:rsidP="00605211">
      <w:pPr>
        <w:pStyle w:val="Listenabsatz"/>
        <w:numPr>
          <w:ilvl w:val="0"/>
          <w:numId w:val="12"/>
        </w:numPr>
        <w:spacing w:before="20" w:after="20"/>
        <w:rPr>
          <w:lang w:val="en-US"/>
        </w:rPr>
      </w:pPr>
      <w:r>
        <w:rPr>
          <w:rFonts w:ascii="Arial" w:eastAsia="Arial" w:hAnsi="Arial" w:cs="Arial"/>
          <w:color w:val="444444"/>
          <w:sz w:val="18"/>
          <w:szCs w:val="18"/>
          <w:lang w:val="en-US"/>
        </w:rPr>
        <w:t>Partnered cross-functionally with L&amp;D, Operations, and external subject-matter experts to build technically accurate, stakeholder-aligned learning content.</w:t>
      </w:r>
    </w:p>
    <w:p w14:paraId="22FEC8B6" w14:textId="5FA9C2EA" w:rsidR="00F5217C" w:rsidRPr="005B79DD" w:rsidRDefault="00000000">
      <w:pPr>
        <w:tabs>
          <w:tab w:val="right" w:pos="9026"/>
        </w:tabs>
        <w:spacing w:before="180" w:after="40"/>
        <w:rPr>
          <w:lang w:val="en-US"/>
        </w:rPr>
      </w:pPr>
      <w:r>
        <w:rPr>
          <w:rFonts w:ascii="Arial" w:eastAsia="Arial" w:hAnsi="Arial" w:cs="Arial"/>
          <w:b/>
          <w:bCs/>
          <w:color w:val="1B3A6B"/>
          <w:lang w:val="en-US"/>
        </w:rPr>
        <w:t xml:space="preserve">Founder &amp; L&amp;D </w:t>
      </w:r>
      <w:proofErr w:type="gramStart"/>
      <w:r>
        <w:rPr>
          <w:rFonts w:ascii="Arial" w:eastAsia="Arial" w:hAnsi="Arial" w:cs="Arial"/>
          <w:b/>
          <w:bCs/>
          <w:color w:val="1B3A6B"/>
          <w:lang w:val="en-US"/>
        </w:rPr>
        <w:t>Manager</w:t>
      </w:r>
      <w:r>
        <w:rPr>
          <w:rFonts w:ascii="Arial" w:eastAsia="Arial" w:hAnsi="Arial" w:cs="Arial"/>
          <w:color w:val="666666"/>
          <w:lang w:val="en-US"/>
        </w:rPr>
        <w:t xml:space="preserve">  |</w:t>
      </w:r>
      <w:proofErr w:type="gramEnd"/>
      <w:r>
        <w:rPr>
          <w:rFonts w:ascii="Arial" w:eastAsia="Arial" w:hAnsi="Arial" w:cs="Arial"/>
          <w:color w:val="666666"/>
          <w:lang w:val="en-US"/>
        </w:rPr>
        <w:t xml:space="preserve">  </w:t>
      </w:r>
      <w:hyperlink r:id="rId11" w:history="1">
        <w:r w:rsidR="00F5217C" w:rsidRPr="00546F29">
          <w:rPr>
            <w:rStyle w:val="Hyperlink"/>
            <w:rFonts w:ascii="Arial" w:eastAsia="Arial" w:hAnsi="Arial" w:cs="Arial"/>
            <w:lang w:val="en-US"/>
          </w:rPr>
          <w:t>Back to Business</w:t>
        </w:r>
      </w:hyperlink>
      <w:r>
        <w:rPr>
          <w:rFonts w:ascii="Arial" w:eastAsia="Arial" w:hAnsi="Arial" w:cs="Arial"/>
          <w:color w:val="444444"/>
          <w:lang w:val="en-US"/>
        </w:rPr>
        <w:t xml:space="preserve"> Digital Agency — Mulhouse</w:t>
      </w:r>
      <w:r>
        <w:rPr>
          <w:rFonts w:ascii="Arial" w:eastAsia="Arial" w:hAnsi="Arial" w:cs="Arial"/>
          <w:i/>
          <w:iCs/>
          <w:color w:val="666666"/>
          <w:sz w:val="18"/>
          <w:szCs w:val="18"/>
          <w:lang w:val="en-US"/>
        </w:rPr>
        <w:tab/>
        <w:t>2020 – 2023</w:t>
      </w:r>
    </w:p>
    <w:p w14:paraId="2366A8B7" w14:textId="77777777" w:rsidR="00F5217C" w:rsidRPr="005B79DD" w:rsidRDefault="00000000" w:rsidP="00605211">
      <w:pPr>
        <w:pStyle w:val="Listenabsatz"/>
        <w:numPr>
          <w:ilvl w:val="0"/>
          <w:numId w:val="13"/>
        </w:numPr>
        <w:spacing w:before="20" w:after="20"/>
        <w:rPr>
          <w:lang w:val="en-US"/>
        </w:rPr>
      </w:pPr>
      <w:r>
        <w:rPr>
          <w:rFonts w:ascii="Arial" w:eastAsia="Arial" w:hAnsi="Arial" w:cs="Arial"/>
          <w:color w:val="444444"/>
          <w:sz w:val="18"/>
          <w:szCs w:val="18"/>
          <w:lang w:val="en-US"/>
        </w:rPr>
        <w:t>Founded and built an L&amp;D function from zero: delivered 30+ digital learning projects and 200+ individual coaching sessions, achieving 94% participant satisfaction — first-hand experience standing up a learning function with no existing infrastructure.</w:t>
      </w:r>
    </w:p>
    <w:p w14:paraId="3463299B" w14:textId="77777777" w:rsidR="00F5217C" w:rsidRPr="005B79DD" w:rsidRDefault="00000000" w:rsidP="00605211">
      <w:pPr>
        <w:pStyle w:val="Listenabsatz"/>
        <w:numPr>
          <w:ilvl w:val="0"/>
          <w:numId w:val="13"/>
        </w:numPr>
        <w:spacing w:before="20" w:after="20"/>
        <w:rPr>
          <w:lang w:val="en-US"/>
        </w:rPr>
      </w:pPr>
      <w:r>
        <w:rPr>
          <w:rFonts w:ascii="Arial" w:eastAsia="Arial" w:hAnsi="Arial" w:cs="Arial"/>
          <w:color w:val="444444"/>
          <w:sz w:val="18"/>
          <w:szCs w:val="18"/>
          <w:lang w:val="en-US"/>
        </w:rPr>
        <w:t>Designed structured curricula grounded in adult learning theory, translating complex digital concepts into accessible, step-by-step learning experiences.</w:t>
      </w:r>
    </w:p>
    <w:p w14:paraId="5B3FF0D4" w14:textId="09FD0A74" w:rsidR="00F5217C" w:rsidRPr="005B79DD" w:rsidRDefault="00000000">
      <w:pPr>
        <w:tabs>
          <w:tab w:val="right" w:pos="9026"/>
        </w:tabs>
        <w:spacing w:before="180" w:after="40"/>
        <w:rPr>
          <w:lang w:val="en-US"/>
        </w:rPr>
      </w:pPr>
      <w:r>
        <w:rPr>
          <w:rFonts w:ascii="Arial" w:eastAsia="Arial" w:hAnsi="Arial" w:cs="Arial"/>
          <w:b/>
          <w:bCs/>
          <w:color w:val="1B3A6B"/>
          <w:lang w:val="en-US"/>
        </w:rPr>
        <w:t xml:space="preserve"> Key Account Manager, Enterprise </w:t>
      </w:r>
      <w:proofErr w:type="gramStart"/>
      <w:r>
        <w:rPr>
          <w:rFonts w:ascii="Arial" w:eastAsia="Arial" w:hAnsi="Arial" w:cs="Arial"/>
          <w:b/>
          <w:bCs/>
          <w:color w:val="1B3A6B"/>
          <w:lang w:val="en-US"/>
        </w:rPr>
        <w:t>Software</w:t>
      </w:r>
      <w:r>
        <w:rPr>
          <w:rFonts w:ascii="Arial" w:eastAsia="Arial" w:hAnsi="Arial" w:cs="Arial"/>
          <w:color w:val="666666"/>
          <w:lang w:val="en-US"/>
        </w:rPr>
        <w:t xml:space="preserve">  |</w:t>
      </w:r>
      <w:proofErr w:type="gramEnd"/>
      <w:r>
        <w:rPr>
          <w:rFonts w:ascii="Arial" w:eastAsia="Arial" w:hAnsi="Arial" w:cs="Arial"/>
          <w:color w:val="666666"/>
          <w:lang w:val="en-US"/>
        </w:rPr>
        <w:t xml:space="preserve">  </w:t>
      </w:r>
      <w:hyperlink r:id="rId12" w:history="1">
        <w:proofErr w:type="spellStart"/>
        <w:r w:rsidR="00F5217C" w:rsidRPr="00546F29">
          <w:rPr>
            <w:rStyle w:val="Hyperlink"/>
            <w:rFonts w:ascii="Arial" w:eastAsia="Arial" w:hAnsi="Arial" w:cs="Arial"/>
            <w:lang w:val="en-US"/>
          </w:rPr>
          <w:t>Systancia</w:t>
        </w:r>
        <w:proofErr w:type="spellEnd"/>
      </w:hyperlink>
      <w:r>
        <w:rPr>
          <w:rFonts w:ascii="Arial" w:eastAsia="Arial" w:hAnsi="Arial" w:cs="Arial"/>
          <w:color w:val="444444"/>
          <w:lang w:val="en-US"/>
        </w:rPr>
        <w:t xml:space="preserve"> — Mulhouse</w:t>
      </w:r>
      <w:r>
        <w:rPr>
          <w:rFonts w:ascii="Arial" w:eastAsia="Arial" w:hAnsi="Arial" w:cs="Arial"/>
          <w:i/>
          <w:iCs/>
          <w:color w:val="666666"/>
          <w:sz w:val="18"/>
          <w:szCs w:val="18"/>
          <w:lang w:val="en-US"/>
        </w:rPr>
        <w:tab/>
        <w:t>2017 – 2020</w:t>
      </w:r>
    </w:p>
    <w:p w14:paraId="3F06E6D5" w14:textId="77777777" w:rsidR="00F5217C" w:rsidRPr="005B79DD" w:rsidRDefault="00000000" w:rsidP="00605211">
      <w:pPr>
        <w:pStyle w:val="Listenabsatz"/>
        <w:numPr>
          <w:ilvl w:val="0"/>
          <w:numId w:val="14"/>
        </w:numPr>
        <w:spacing w:before="20" w:after="20"/>
        <w:rPr>
          <w:lang w:val="en-US"/>
        </w:rPr>
      </w:pPr>
      <w:r>
        <w:rPr>
          <w:rFonts w:ascii="Arial" w:eastAsia="Arial" w:hAnsi="Arial" w:cs="Arial"/>
          <w:color w:val="444444"/>
          <w:sz w:val="18"/>
          <w:szCs w:val="18"/>
          <w:lang w:val="en-US"/>
        </w:rPr>
        <w:t>Managed enterprise software client relationships generating €2M annual revenue across France, the DACH region, and export markets — building the cross-cultural, multi-country stakeholder management this role demands.</w:t>
      </w:r>
    </w:p>
    <w:p w14:paraId="06D24FDA" w14:textId="77777777" w:rsidR="00F5217C" w:rsidRPr="005B79DD" w:rsidRDefault="00000000" w:rsidP="00605211">
      <w:pPr>
        <w:pStyle w:val="Listenabsatz"/>
        <w:numPr>
          <w:ilvl w:val="0"/>
          <w:numId w:val="14"/>
        </w:numPr>
        <w:spacing w:before="20" w:after="20"/>
        <w:rPr>
          <w:lang w:val="en-US"/>
        </w:rPr>
      </w:pPr>
      <w:r>
        <w:rPr>
          <w:rFonts w:ascii="Arial" w:eastAsia="Arial" w:hAnsi="Arial" w:cs="Arial"/>
          <w:color w:val="444444"/>
          <w:sz w:val="18"/>
          <w:szCs w:val="18"/>
          <w:lang w:val="en-US"/>
        </w:rPr>
        <w:t>Trained and mentored 5 apprentices and built onboarding reference materials adopted company-wide — an early contribution to structured onboarding design.</w:t>
      </w:r>
    </w:p>
    <w:p w14:paraId="4D4E02D6" w14:textId="7E7ED0CA" w:rsidR="00F5217C" w:rsidRDefault="00000000">
      <w:pPr>
        <w:tabs>
          <w:tab w:val="right" w:pos="9026"/>
        </w:tabs>
        <w:spacing w:before="180" w:after="40"/>
      </w:pPr>
      <w:r>
        <w:rPr>
          <w:rFonts w:ascii="Arial" w:eastAsia="Arial" w:hAnsi="Arial" w:cs="Arial"/>
          <w:b/>
          <w:bCs/>
          <w:color w:val="1B3A6B"/>
        </w:rPr>
        <w:t xml:space="preserve">Founder &amp; L&amp;D </w:t>
      </w:r>
      <w:proofErr w:type="gramStart"/>
      <w:r>
        <w:rPr>
          <w:rFonts w:ascii="Arial" w:eastAsia="Arial" w:hAnsi="Arial" w:cs="Arial"/>
          <w:b/>
          <w:bCs/>
          <w:color w:val="1B3A6B"/>
        </w:rPr>
        <w:t>Manager</w:t>
      </w:r>
      <w:r>
        <w:rPr>
          <w:rFonts w:ascii="Arial" w:eastAsia="Arial" w:hAnsi="Arial" w:cs="Arial"/>
          <w:color w:val="666666"/>
        </w:rPr>
        <w:t xml:space="preserve">  |</w:t>
      </w:r>
      <w:proofErr w:type="gramEnd"/>
      <w:r>
        <w:rPr>
          <w:rFonts w:ascii="Arial" w:eastAsia="Arial" w:hAnsi="Arial" w:cs="Arial"/>
          <w:color w:val="666666"/>
        </w:rPr>
        <w:t xml:space="preserve">  </w:t>
      </w:r>
      <w:hyperlink r:id="rId13" w:history="1">
        <w:proofErr w:type="spellStart"/>
        <w:r w:rsidRPr="004174DC">
          <w:rPr>
            <w:rStyle w:val="Hyperlink"/>
            <w:rFonts w:ascii="Arial" w:eastAsia="Arial" w:hAnsi="Arial" w:cs="Arial"/>
          </w:rPr>
          <w:t>Ludilangues</w:t>
        </w:r>
        <w:proofErr w:type="spellEnd"/>
      </w:hyperlink>
      <w:r>
        <w:rPr>
          <w:rFonts w:ascii="Arial" w:eastAsia="Arial" w:hAnsi="Arial" w:cs="Arial"/>
          <w:color w:val="444444"/>
        </w:rPr>
        <w:t xml:space="preserve"> — Berlin &amp; Paris</w:t>
      </w:r>
      <w:r>
        <w:rPr>
          <w:rFonts w:ascii="Arial" w:eastAsia="Arial" w:hAnsi="Arial" w:cs="Arial"/>
          <w:i/>
          <w:iCs/>
          <w:color w:val="666666"/>
          <w:sz w:val="18"/>
          <w:szCs w:val="18"/>
        </w:rPr>
        <w:tab/>
        <w:t>2011 – 2017</w:t>
      </w:r>
    </w:p>
    <w:p w14:paraId="44CF9EC3" w14:textId="77777777" w:rsidR="00F5217C" w:rsidRPr="005B79DD" w:rsidRDefault="00000000" w:rsidP="00605211">
      <w:pPr>
        <w:pStyle w:val="Listenabsatz"/>
        <w:numPr>
          <w:ilvl w:val="0"/>
          <w:numId w:val="15"/>
        </w:numPr>
        <w:spacing w:before="20" w:after="20"/>
        <w:rPr>
          <w:lang w:val="en-US"/>
        </w:rPr>
      </w:pPr>
      <w:r>
        <w:rPr>
          <w:rFonts w:ascii="Arial" w:eastAsia="Arial" w:hAnsi="Arial" w:cs="Arial"/>
          <w:color w:val="444444"/>
          <w:sz w:val="18"/>
          <w:szCs w:val="18"/>
          <w:lang w:val="en-US"/>
        </w:rPr>
        <w:t>Founded and scaled a multilingual learning agency to 5,000+ weekly learners across 5 European countries — 57% annual growth, proof of building and scaling an L&amp;D function in a high-growth, low-</w:t>
      </w:r>
      <w:proofErr w:type="gramStart"/>
      <w:r>
        <w:rPr>
          <w:rFonts w:ascii="Arial" w:eastAsia="Arial" w:hAnsi="Arial" w:cs="Arial"/>
          <w:color w:val="444444"/>
          <w:sz w:val="18"/>
          <w:szCs w:val="18"/>
          <w:lang w:val="en-US"/>
        </w:rPr>
        <w:t>structure</w:t>
      </w:r>
      <w:proofErr w:type="gramEnd"/>
      <w:r>
        <w:rPr>
          <w:rFonts w:ascii="Arial" w:eastAsia="Arial" w:hAnsi="Arial" w:cs="Arial"/>
          <w:color w:val="444444"/>
          <w:sz w:val="18"/>
          <w:szCs w:val="18"/>
          <w:lang w:val="en-US"/>
        </w:rPr>
        <w:t xml:space="preserve"> environment.</w:t>
      </w:r>
    </w:p>
    <w:p w14:paraId="6C0A8291" w14:textId="77777777" w:rsidR="00F5217C" w:rsidRPr="005B79DD" w:rsidRDefault="00000000" w:rsidP="00605211">
      <w:pPr>
        <w:pStyle w:val="Listenabsatz"/>
        <w:numPr>
          <w:ilvl w:val="0"/>
          <w:numId w:val="15"/>
        </w:numPr>
        <w:spacing w:before="20" w:after="20"/>
        <w:rPr>
          <w:lang w:val="en-US"/>
        </w:rPr>
      </w:pPr>
      <w:r>
        <w:rPr>
          <w:rFonts w:ascii="Arial" w:eastAsia="Arial" w:hAnsi="Arial" w:cs="Arial"/>
          <w:color w:val="444444"/>
          <w:sz w:val="18"/>
          <w:szCs w:val="18"/>
          <w:lang w:val="en-US"/>
        </w:rPr>
        <w:t>Designed 25 original training methodologies; recruited, trained, and led a 60-member bilingual, cross-cultural team spanning multiple countries.</w:t>
      </w:r>
    </w:p>
    <w:p w14:paraId="63E855EB" w14:textId="42AED903" w:rsidR="00546F29" w:rsidRPr="00546F29" w:rsidRDefault="00000000" w:rsidP="00546F29">
      <w:pPr>
        <w:pStyle w:val="Listenabsatz"/>
        <w:numPr>
          <w:ilvl w:val="0"/>
          <w:numId w:val="15"/>
        </w:numPr>
        <w:spacing w:before="20" w:after="20"/>
        <w:rPr>
          <w:lang w:val="en-US"/>
        </w:rPr>
      </w:pPr>
      <w:r>
        <w:rPr>
          <w:rFonts w:ascii="Arial" w:eastAsia="Arial" w:hAnsi="Arial" w:cs="Arial"/>
          <w:color w:val="444444"/>
          <w:sz w:val="18"/>
          <w:szCs w:val="18"/>
          <w:lang w:val="en-US"/>
        </w:rPr>
        <w:t xml:space="preserve">Built strategic partnerships with public institutions and companies to source and curate external content and programs — early experience in exactly the partnership-sourcing </w:t>
      </w:r>
      <w:proofErr w:type="gramStart"/>
      <w:r>
        <w:rPr>
          <w:rFonts w:ascii="Arial" w:eastAsia="Arial" w:hAnsi="Arial" w:cs="Arial"/>
          <w:color w:val="444444"/>
          <w:sz w:val="18"/>
          <w:szCs w:val="18"/>
          <w:lang w:val="en-US"/>
        </w:rPr>
        <w:t>this role</w:t>
      </w:r>
      <w:proofErr w:type="gramEnd"/>
      <w:r>
        <w:rPr>
          <w:rFonts w:ascii="Arial" w:eastAsia="Arial" w:hAnsi="Arial" w:cs="Arial"/>
          <w:color w:val="444444"/>
          <w:sz w:val="18"/>
          <w:szCs w:val="18"/>
          <w:lang w:val="en-US"/>
        </w:rPr>
        <w:t xml:space="preserve"> requires.</w:t>
      </w:r>
    </w:p>
    <w:p w14:paraId="2AD5DD95" w14:textId="6CC3A9BD" w:rsidR="00546F29" w:rsidRPr="00546F29" w:rsidRDefault="00546F29" w:rsidP="00546F29">
      <w:pPr>
        <w:pStyle w:val="Listenabsatz"/>
        <w:numPr>
          <w:ilvl w:val="0"/>
          <w:numId w:val="15"/>
        </w:numPr>
        <w:spacing w:before="20" w:after="20"/>
        <w:rPr>
          <w:lang w:val="en-US"/>
        </w:rPr>
      </w:pPr>
      <w:r w:rsidRPr="00546F29">
        <w:rPr>
          <w:lang w:val="en-US"/>
        </w:rPr>
        <w:t xml:space="preserve">International project in partnership with the Embassy of France and the Alliances </w:t>
      </w:r>
      <w:proofErr w:type="spellStart"/>
      <w:r w:rsidRPr="00546F29">
        <w:rPr>
          <w:lang w:val="en-US"/>
        </w:rPr>
        <w:t>Françaises</w:t>
      </w:r>
      <w:proofErr w:type="spellEnd"/>
      <w:r w:rsidRPr="00546F29">
        <w:rPr>
          <w:lang w:val="en-US"/>
        </w:rPr>
        <w:t xml:space="preserve"> of Kenya, Taiwan, Vietnam, Germany (Berlin), and Cuba.</w:t>
      </w:r>
    </w:p>
    <w:p w14:paraId="5A31DF3B" w14:textId="77777777" w:rsidR="00F5217C" w:rsidRPr="00546F29" w:rsidRDefault="00000000">
      <w:pPr>
        <w:pBdr>
          <w:bottom w:val="single" w:sz="6" w:space="2" w:color="1B3A6B"/>
        </w:pBdr>
        <w:spacing w:before="280" w:after="120"/>
        <w:rPr>
          <w:lang w:val="en-US"/>
        </w:rPr>
      </w:pPr>
      <w:r w:rsidRPr="00546F29">
        <w:rPr>
          <w:rFonts w:ascii="Arial" w:eastAsia="Arial" w:hAnsi="Arial" w:cs="Arial"/>
          <w:b/>
          <w:bCs/>
          <w:color w:val="1B3A6B"/>
          <w:lang w:val="en-US"/>
        </w:rPr>
        <w:t>EDUCATION</w:t>
      </w:r>
    </w:p>
    <w:p w14:paraId="464DC7AE" w14:textId="151F5641" w:rsidR="00F5217C" w:rsidRPr="005B79DD" w:rsidRDefault="00000000">
      <w:pPr>
        <w:pStyle w:val="Listenabsatz"/>
        <w:numPr>
          <w:ilvl w:val="0"/>
          <w:numId w:val="3"/>
        </w:numPr>
        <w:tabs>
          <w:tab w:val="right" w:pos="9026"/>
        </w:tabs>
        <w:spacing w:before="80" w:after="40"/>
        <w:rPr>
          <w:lang w:val="en-US"/>
        </w:rPr>
      </w:pPr>
      <w:r>
        <w:rPr>
          <w:rFonts w:ascii="Arial" w:eastAsia="Arial" w:hAnsi="Arial" w:cs="Arial"/>
          <w:b/>
          <w:bCs/>
          <w:color w:val="1B3A6B"/>
          <w:sz w:val="19"/>
          <w:szCs w:val="19"/>
          <w:lang w:val="en-US"/>
        </w:rPr>
        <w:t xml:space="preserve">Master's Degree </w:t>
      </w:r>
      <w:r w:rsidR="00605211">
        <w:rPr>
          <w:rFonts w:ascii="Arial" w:eastAsia="Arial" w:hAnsi="Arial" w:cs="Arial"/>
          <w:b/>
          <w:bCs/>
          <w:color w:val="1B3A6B"/>
          <w:sz w:val="19"/>
          <w:szCs w:val="19"/>
          <w:lang w:val="en-US"/>
        </w:rPr>
        <w:t xml:space="preserve">- </w:t>
      </w:r>
      <w:r>
        <w:rPr>
          <w:rFonts w:ascii="Arial" w:eastAsia="Arial" w:hAnsi="Arial" w:cs="Arial"/>
          <w:color w:val="444444"/>
          <w:sz w:val="19"/>
          <w:szCs w:val="19"/>
          <w:lang w:val="en-US"/>
        </w:rPr>
        <w:t>Human Resources, Montpellier Business School</w:t>
      </w:r>
      <w:r>
        <w:rPr>
          <w:rFonts w:ascii="Arial" w:eastAsia="Arial" w:hAnsi="Arial" w:cs="Arial"/>
          <w:i/>
          <w:iCs/>
          <w:color w:val="666666"/>
          <w:sz w:val="18"/>
          <w:szCs w:val="18"/>
          <w:lang w:val="en-US"/>
        </w:rPr>
        <w:tab/>
        <w:t>2006 – 2010</w:t>
      </w:r>
    </w:p>
    <w:p w14:paraId="30F2319B" w14:textId="7FB53DF9" w:rsidR="00F5217C" w:rsidRPr="005B79DD" w:rsidRDefault="00000000">
      <w:pPr>
        <w:pStyle w:val="Listenabsatz"/>
        <w:numPr>
          <w:ilvl w:val="0"/>
          <w:numId w:val="3"/>
        </w:numPr>
        <w:tabs>
          <w:tab w:val="right" w:pos="9026"/>
        </w:tabs>
        <w:spacing w:before="80" w:after="40"/>
        <w:rPr>
          <w:lang w:val="en-US"/>
        </w:rPr>
      </w:pPr>
      <w:r>
        <w:rPr>
          <w:rFonts w:ascii="Arial" w:eastAsia="Arial" w:hAnsi="Arial" w:cs="Arial"/>
          <w:b/>
          <w:bCs/>
          <w:color w:val="1B3A6B"/>
          <w:sz w:val="19"/>
          <w:szCs w:val="19"/>
          <w:lang w:val="en-US"/>
        </w:rPr>
        <w:t xml:space="preserve">Master's Degree </w:t>
      </w:r>
      <w:r w:rsidR="008B77DF">
        <w:rPr>
          <w:rFonts w:ascii="Arial" w:eastAsia="Arial" w:hAnsi="Arial" w:cs="Arial"/>
          <w:b/>
          <w:bCs/>
          <w:color w:val="1B3A6B"/>
          <w:sz w:val="19"/>
          <w:szCs w:val="19"/>
          <w:lang w:val="en-US"/>
        </w:rPr>
        <w:t>- French</w:t>
      </w:r>
      <w:r>
        <w:rPr>
          <w:rFonts w:ascii="Arial" w:eastAsia="Arial" w:hAnsi="Arial" w:cs="Arial"/>
          <w:color w:val="444444"/>
          <w:sz w:val="19"/>
          <w:szCs w:val="19"/>
          <w:lang w:val="en-US"/>
        </w:rPr>
        <w:t xml:space="preserve"> as a Foreign Language, Université Paul Valéry, Montpellier</w:t>
      </w:r>
      <w:r>
        <w:rPr>
          <w:rFonts w:ascii="Arial" w:eastAsia="Arial" w:hAnsi="Arial" w:cs="Arial"/>
          <w:i/>
          <w:iCs/>
          <w:color w:val="666666"/>
          <w:sz w:val="18"/>
          <w:szCs w:val="18"/>
          <w:lang w:val="en-US"/>
        </w:rPr>
        <w:tab/>
        <w:t>2006 – 2007</w:t>
      </w:r>
    </w:p>
    <w:p w14:paraId="5665E784" w14:textId="3DA1653D" w:rsidR="00F5217C" w:rsidRDefault="00000000">
      <w:pPr>
        <w:pStyle w:val="Listenabsatz"/>
        <w:numPr>
          <w:ilvl w:val="0"/>
          <w:numId w:val="3"/>
        </w:numPr>
        <w:tabs>
          <w:tab w:val="right" w:pos="9026"/>
        </w:tabs>
        <w:spacing w:before="80" w:after="40"/>
      </w:pPr>
      <w:proofErr w:type="spellStart"/>
      <w:r>
        <w:rPr>
          <w:rFonts w:ascii="Arial" w:eastAsia="Arial" w:hAnsi="Arial" w:cs="Arial"/>
          <w:b/>
          <w:bCs/>
          <w:color w:val="1B3A6B"/>
          <w:sz w:val="19"/>
          <w:szCs w:val="19"/>
        </w:rPr>
        <w:t>Bachelor's</w:t>
      </w:r>
      <w:proofErr w:type="spellEnd"/>
      <w:r>
        <w:rPr>
          <w:rFonts w:ascii="Arial" w:eastAsia="Arial" w:hAnsi="Arial" w:cs="Arial"/>
          <w:b/>
          <w:bCs/>
          <w:color w:val="1B3A6B"/>
          <w:sz w:val="19"/>
          <w:szCs w:val="19"/>
        </w:rPr>
        <w:t xml:space="preserve"> Degree </w:t>
      </w:r>
      <w:r w:rsidR="008B77DF">
        <w:rPr>
          <w:rFonts w:ascii="Arial" w:eastAsia="Arial" w:hAnsi="Arial" w:cs="Arial"/>
          <w:b/>
          <w:bCs/>
          <w:color w:val="1B3A6B"/>
          <w:sz w:val="19"/>
          <w:szCs w:val="19"/>
        </w:rPr>
        <w:t>- International</w:t>
      </w:r>
      <w:r>
        <w:rPr>
          <w:rFonts w:ascii="Arial" w:eastAsia="Arial" w:hAnsi="Arial" w:cs="Arial"/>
          <w:color w:val="444444"/>
          <w:sz w:val="19"/>
          <w:szCs w:val="19"/>
        </w:rPr>
        <w:t xml:space="preserve"> Business, </w:t>
      </w:r>
      <w:proofErr w:type="spellStart"/>
      <w:r>
        <w:rPr>
          <w:rFonts w:ascii="Arial" w:eastAsia="Arial" w:hAnsi="Arial" w:cs="Arial"/>
          <w:color w:val="444444"/>
          <w:sz w:val="19"/>
          <w:szCs w:val="19"/>
        </w:rPr>
        <w:t>Université</w:t>
      </w:r>
      <w:proofErr w:type="spellEnd"/>
      <w:r>
        <w:rPr>
          <w:rFonts w:ascii="Arial" w:eastAsia="Arial" w:hAnsi="Arial" w:cs="Arial"/>
          <w:color w:val="444444"/>
          <w:sz w:val="19"/>
          <w:szCs w:val="19"/>
        </w:rPr>
        <w:t xml:space="preserve"> de Mulhouse – UHA</w:t>
      </w:r>
      <w:r>
        <w:rPr>
          <w:rFonts w:ascii="Arial" w:eastAsia="Arial" w:hAnsi="Arial" w:cs="Arial"/>
          <w:i/>
          <w:iCs/>
          <w:color w:val="666666"/>
          <w:sz w:val="18"/>
          <w:szCs w:val="18"/>
        </w:rPr>
        <w:tab/>
        <w:t>2005 – 2006</w:t>
      </w:r>
    </w:p>
    <w:p w14:paraId="1E6F957C" w14:textId="77777777" w:rsidR="00F5217C" w:rsidRDefault="00000000">
      <w:pPr>
        <w:pBdr>
          <w:bottom w:val="single" w:sz="6" w:space="2" w:color="1B3A6B"/>
        </w:pBdr>
        <w:spacing w:before="280" w:after="120"/>
      </w:pPr>
      <w:r>
        <w:rPr>
          <w:rFonts w:ascii="Arial" w:eastAsia="Arial" w:hAnsi="Arial" w:cs="Arial"/>
          <w:b/>
          <w:bCs/>
          <w:color w:val="1B3A6B"/>
        </w:rPr>
        <w:t>LANGUAGES</w:t>
      </w:r>
    </w:p>
    <w:tbl>
      <w:tblPr>
        <w:tblW w:w="902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008"/>
        <w:gridCol w:w="3009"/>
        <w:gridCol w:w="3009"/>
      </w:tblGrid>
      <w:tr w:rsidR="00F5217C" w14:paraId="62CD843B" w14:textId="77777777">
        <w:tc>
          <w:tcPr>
            <w:tcW w:w="3009" w:type="dxa"/>
            <w:tcBorders>
              <w:top w:val="none" w:sz="0" w:space="0" w:color="FFFFFF"/>
              <w:left w:val="none" w:sz="0" w:space="0" w:color="FFFFFF"/>
              <w:bottom w:val="none" w:sz="0" w:space="0" w:color="FFFFFF"/>
              <w:right w:val="none" w:sz="0" w:space="0" w:color="FFFFFF"/>
            </w:tcBorders>
            <w:tcMar>
              <w:top w:w="60" w:type="dxa"/>
              <w:left w:w="60" w:type="dxa"/>
              <w:bottom w:w="60" w:type="dxa"/>
              <w:right w:w="60" w:type="dxa"/>
            </w:tcMar>
          </w:tcPr>
          <w:p w14:paraId="39C68A6B" w14:textId="77777777" w:rsidR="00F5217C" w:rsidRDefault="00000000">
            <w:r>
              <w:rPr>
                <w:rFonts w:ascii="Arial" w:eastAsia="Arial" w:hAnsi="Arial" w:cs="Arial"/>
                <w:color w:val="000000"/>
                <w:sz w:val="18"/>
                <w:szCs w:val="18"/>
              </w:rPr>
              <w:t xml:space="preserve">French  </w:t>
            </w:r>
            <w:r>
              <w:rPr>
                <w:noProof/>
              </w:rPr>
              <w:drawing>
                <wp:inline distT="0" distB="0" distL="0" distR="0" wp14:anchorId="56974661" wp14:editId="0473DAF9">
                  <wp:extent cx="171450" cy="114300"/>
                  <wp:effectExtent l="0" t="0" r="0" b="0"/>
                  <wp:docPr id="1627482929" name="Grafik 1627482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171450" cy="114300"/>
                          </a:xfrm>
                          <a:prstGeom prst="rect">
                            <a:avLst/>
                          </a:prstGeom>
                        </pic:spPr>
                      </pic:pic>
                    </a:graphicData>
                  </a:graphic>
                </wp:inline>
              </w:drawing>
            </w:r>
            <w:r>
              <w:rPr>
                <w:rFonts w:ascii="Arial" w:eastAsia="Arial" w:hAnsi="Arial" w:cs="Arial"/>
                <w:color w:val="000000"/>
                <w:sz w:val="18"/>
                <w:szCs w:val="18"/>
              </w:rPr>
              <w:t xml:space="preserve">  Native</w:t>
            </w:r>
          </w:p>
        </w:tc>
        <w:tc>
          <w:tcPr>
            <w:tcW w:w="3009" w:type="dxa"/>
            <w:tcBorders>
              <w:top w:val="none" w:sz="0" w:space="0" w:color="FFFFFF"/>
              <w:left w:val="none" w:sz="0" w:space="0" w:color="FFFFFF"/>
              <w:bottom w:val="none" w:sz="0" w:space="0" w:color="FFFFFF"/>
              <w:right w:val="none" w:sz="0" w:space="0" w:color="FFFFFF"/>
            </w:tcBorders>
            <w:tcMar>
              <w:top w:w="60" w:type="dxa"/>
              <w:left w:w="60" w:type="dxa"/>
              <w:bottom w:w="60" w:type="dxa"/>
              <w:right w:w="60" w:type="dxa"/>
            </w:tcMar>
          </w:tcPr>
          <w:p w14:paraId="10B8F295" w14:textId="77777777" w:rsidR="00F5217C" w:rsidRDefault="00000000">
            <w:r>
              <w:rPr>
                <w:rFonts w:ascii="Arial" w:eastAsia="Arial" w:hAnsi="Arial" w:cs="Arial"/>
                <w:color w:val="000000"/>
                <w:sz w:val="18"/>
                <w:szCs w:val="18"/>
              </w:rPr>
              <w:t xml:space="preserve">German  </w:t>
            </w:r>
            <w:r>
              <w:rPr>
                <w:noProof/>
              </w:rPr>
              <w:drawing>
                <wp:inline distT="0" distB="0" distL="0" distR="0" wp14:anchorId="6BA42CDD" wp14:editId="145A1326">
                  <wp:extent cx="171450" cy="114300"/>
                  <wp:effectExtent l="0" t="0" r="0" b="0"/>
                  <wp:docPr id="1612452712" name="Grafik 1612452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171450" cy="114300"/>
                          </a:xfrm>
                          <a:prstGeom prst="rect">
                            <a:avLst/>
                          </a:prstGeom>
                        </pic:spPr>
                      </pic:pic>
                    </a:graphicData>
                  </a:graphic>
                </wp:inline>
              </w:drawing>
            </w:r>
            <w:r>
              <w:rPr>
                <w:rFonts w:ascii="Arial" w:eastAsia="Arial" w:hAnsi="Arial" w:cs="Arial"/>
                <w:color w:val="000000"/>
                <w:sz w:val="18"/>
                <w:szCs w:val="18"/>
              </w:rPr>
              <w:t xml:space="preserve">  C1.1</w:t>
            </w:r>
          </w:p>
        </w:tc>
        <w:tc>
          <w:tcPr>
            <w:tcW w:w="3009" w:type="dxa"/>
            <w:tcBorders>
              <w:top w:val="none" w:sz="0" w:space="0" w:color="FFFFFF"/>
              <w:left w:val="none" w:sz="0" w:space="0" w:color="FFFFFF"/>
              <w:bottom w:val="none" w:sz="0" w:space="0" w:color="FFFFFF"/>
              <w:right w:val="none" w:sz="0" w:space="0" w:color="FFFFFF"/>
            </w:tcBorders>
            <w:tcMar>
              <w:top w:w="60" w:type="dxa"/>
              <w:left w:w="60" w:type="dxa"/>
              <w:bottom w:w="60" w:type="dxa"/>
              <w:right w:w="60" w:type="dxa"/>
            </w:tcMar>
          </w:tcPr>
          <w:p w14:paraId="223EEB17" w14:textId="600EB8FF" w:rsidR="00F5217C" w:rsidRDefault="00000000">
            <w:r>
              <w:rPr>
                <w:rFonts w:ascii="Arial" w:eastAsia="Arial" w:hAnsi="Arial" w:cs="Arial"/>
                <w:color w:val="000000"/>
                <w:sz w:val="18"/>
                <w:szCs w:val="18"/>
              </w:rPr>
              <w:t xml:space="preserve">Swiss German  </w:t>
            </w:r>
            <w:r>
              <w:rPr>
                <w:noProof/>
              </w:rPr>
              <w:drawing>
                <wp:inline distT="0" distB="0" distL="0" distR="0" wp14:anchorId="5E9D4BD4" wp14:editId="5372F89A">
                  <wp:extent cx="171450" cy="114300"/>
                  <wp:effectExtent l="0" t="0" r="0" b="0"/>
                  <wp:docPr id="1239135265" name="Grafik 1239135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171450" cy="114300"/>
                          </a:xfrm>
                          <a:prstGeom prst="rect">
                            <a:avLst/>
                          </a:prstGeom>
                        </pic:spPr>
                      </pic:pic>
                    </a:graphicData>
                  </a:graphic>
                </wp:inline>
              </w:drawing>
            </w:r>
            <w:r>
              <w:rPr>
                <w:rFonts w:ascii="Arial" w:eastAsia="Arial" w:hAnsi="Arial" w:cs="Arial"/>
                <w:color w:val="000000"/>
                <w:sz w:val="18"/>
                <w:szCs w:val="18"/>
              </w:rPr>
              <w:t xml:space="preserve">  B</w:t>
            </w:r>
            <w:r w:rsidR="00605211">
              <w:rPr>
                <w:rFonts w:ascii="Arial" w:eastAsia="Arial" w:hAnsi="Arial" w:cs="Arial"/>
                <w:color w:val="000000"/>
                <w:sz w:val="18"/>
                <w:szCs w:val="18"/>
              </w:rPr>
              <w:t>2</w:t>
            </w:r>
          </w:p>
        </w:tc>
      </w:tr>
      <w:tr w:rsidR="00F5217C" w14:paraId="42A8C42E" w14:textId="77777777">
        <w:tc>
          <w:tcPr>
            <w:tcW w:w="3009" w:type="dxa"/>
            <w:tcBorders>
              <w:top w:val="none" w:sz="0" w:space="0" w:color="FFFFFF"/>
              <w:left w:val="none" w:sz="0" w:space="0" w:color="FFFFFF"/>
              <w:bottom w:val="none" w:sz="0" w:space="0" w:color="FFFFFF"/>
              <w:right w:val="none" w:sz="0" w:space="0" w:color="FFFFFF"/>
            </w:tcBorders>
            <w:tcMar>
              <w:top w:w="60" w:type="dxa"/>
              <w:left w:w="60" w:type="dxa"/>
              <w:bottom w:w="60" w:type="dxa"/>
              <w:right w:w="60" w:type="dxa"/>
            </w:tcMar>
          </w:tcPr>
          <w:p w14:paraId="0156B217" w14:textId="77777777" w:rsidR="00F5217C" w:rsidRDefault="00000000">
            <w:r>
              <w:rPr>
                <w:rFonts w:ascii="Arial" w:eastAsia="Arial" w:hAnsi="Arial" w:cs="Arial"/>
                <w:color w:val="000000"/>
                <w:sz w:val="18"/>
                <w:szCs w:val="18"/>
              </w:rPr>
              <w:t xml:space="preserve">English  </w:t>
            </w:r>
            <w:r>
              <w:rPr>
                <w:noProof/>
              </w:rPr>
              <w:drawing>
                <wp:inline distT="0" distB="0" distL="0" distR="0" wp14:anchorId="7CB81E0F" wp14:editId="3E6617CA">
                  <wp:extent cx="171450" cy="114300"/>
                  <wp:effectExtent l="0" t="0" r="0" b="0"/>
                  <wp:docPr id="25072558" name="Grafik 25072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171450" cy="114300"/>
                          </a:xfrm>
                          <a:prstGeom prst="rect">
                            <a:avLst/>
                          </a:prstGeom>
                        </pic:spPr>
                      </pic:pic>
                    </a:graphicData>
                  </a:graphic>
                </wp:inline>
              </w:drawing>
            </w:r>
            <w:r>
              <w:rPr>
                <w:rFonts w:ascii="Arial" w:eastAsia="Arial" w:hAnsi="Arial" w:cs="Arial"/>
                <w:color w:val="000000"/>
                <w:sz w:val="18"/>
                <w:szCs w:val="18"/>
              </w:rPr>
              <w:t xml:space="preserve">  C1.1</w:t>
            </w:r>
          </w:p>
        </w:tc>
        <w:tc>
          <w:tcPr>
            <w:tcW w:w="3009" w:type="dxa"/>
            <w:tcBorders>
              <w:top w:val="none" w:sz="0" w:space="0" w:color="FFFFFF"/>
              <w:left w:val="none" w:sz="0" w:space="0" w:color="FFFFFF"/>
              <w:bottom w:val="none" w:sz="0" w:space="0" w:color="FFFFFF"/>
              <w:right w:val="none" w:sz="0" w:space="0" w:color="FFFFFF"/>
            </w:tcBorders>
            <w:tcMar>
              <w:top w:w="60" w:type="dxa"/>
              <w:left w:w="60" w:type="dxa"/>
              <w:bottom w:w="60" w:type="dxa"/>
              <w:right w:w="60" w:type="dxa"/>
            </w:tcMar>
          </w:tcPr>
          <w:p w14:paraId="75FAC9FC" w14:textId="77777777" w:rsidR="00F5217C" w:rsidRDefault="00000000">
            <w:r>
              <w:rPr>
                <w:rFonts w:ascii="Arial" w:eastAsia="Arial" w:hAnsi="Arial" w:cs="Arial"/>
                <w:color w:val="000000"/>
                <w:sz w:val="18"/>
                <w:szCs w:val="18"/>
              </w:rPr>
              <w:t xml:space="preserve">Spanish  </w:t>
            </w:r>
            <w:r>
              <w:rPr>
                <w:noProof/>
              </w:rPr>
              <w:drawing>
                <wp:inline distT="0" distB="0" distL="0" distR="0" wp14:anchorId="6DAB816A" wp14:editId="6790A1F6">
                  <wp:extent cx="171450" cy="114300"/>
                  <wp:effectExtent l="0" t="0" r="0" b="0"/>
                  <wp:docPr id="970933262" name="Grafik 970933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171450" cy="114300"/>
                          </a:xfrm>
                          <a:prstGeom prst="rect">
                            <a:avLst/>
                          </a:prstGeom>
                        </pic:spPr>
                      </pic:pic>
                    </a:graphicData>
                  </a:graphic>
                </wp:inline>
              </w:drawing>
            </w:r>
            <w:r>
              <w:rPr>
                <w:rFonts w:ascii="Arial" w:eastAsia="Arial" w:hAnsi="Arial" w:cs="Arial"/>
                <w:color w:val="000000"/>
                <w:sz w:val="18"/>
                <w:szCs w:val="18"/>
              </w:rPr>
              <w:t xml:space="preserve">  B2.2</w:t>
            </w:r>
          </w:p>
        </w:tc>
        <w:tc>
          <w:tcPr>
            <w:tcW w:w="3009" w:type="dxa"/>
            <w:tcBorders>
              <w:top w:val="none" w:sz="0" w:space="0" w:color="FFFFFF"/>
              <w:left w:val="none" w:sz="0" w:space="0" w:color="FFFFFF"/>
              <w:bottom w:val="none" w:sz="0" w:space="0" w:color="FFFFFF"/>
              <w:right w:val="none" w:sz="0" w:space="0" w:color="FFFFFF"/>
            </w:tcBorders>
            <w:tcMar>
              <w:top w:w="60" w:type="dxa"/>
              <w:left w:w="60" w:type="dxa"/>
              <w:bottom w:w="60" w:type="dxa"/>
              <w:right w:w="60" w:type="dxa"/>
            </w:tcMar>
          </w:tcPr>
          <w:p w14:paraId="3123BA24" w14:textId="77777777" w:rsidR="00F5217C" w:rsidRDefault="00000000">
            <w:r>
              <w:rPr>
                <w:rFonts w:ascii="Arial" w:eastAsia="Arial" w:hAnsi="Arial" w:cs="Arial"/>
                <w:color w:val="000000"/>
                <w:sz w:val="18"/>
                <w:szCs w:val="18"/>
              </w:rPr>
              <w:t xml:space="preserve">Italian  </w:t>
            </w:r>
            <w:r>
              <w:rPr>
                <w:noProof/>
              </w:rPr>
              <w:drawing>
                <wp:inline distT="0" distB="0" distL="0" distR="0" wp14:anchorId="32A24E48" wp14:editId="17A1F9EC">
                  <wp:extent cx="171450" cy="114300"/>
                  <wp:effectExtent l="0" t="0" r="0" b="0"/>
                  <wp:docPr id="981067608" name="Grafik 981067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9"/>
                          <a:srcRect/>
                          <a:stretch>
                            <a:fillRect/>
                          </a:stretch>
                        </pic:blipFill>
                        <pic:spPr bwMode="auto">
                          <a:xfrm>
                            <a:off x="0" y="0"/>
                            <a:ext cx="171450" cy="114300"/>
                          </a:xfrm>
                          <a:prstGeom prst="rect">
                            <a:avLst/>
                          </a:prstGeom>
                        </pic:spPr>
                      </pic:pic>
                    </a:graphicData>
                  </a:graphic>
                </wp:inline>
              </w:drawing>
            </w:r>
            <w:r>
              <w:rPr>
                <w:rFonts w:ascii="Arial" w:eastAsia="Arial" w:hAnsi="Arial" w:cs="Arial"/>
                <w:color w:val="000000"/>
                <w:sz w:val="18"/>
                <w:szCs w:val="18"/>
              </w:rPr>
              <w:t xml:space="preserve">  B1</w:t>
            </w:r>
          </w:p>
        </w:tc>
      </w:tr>
    </w:tbl>
    <w:p w14:paraId="5F7AEF07" w14:textId="77777777" w:rsidR="00F5217C" w:rsidRDefault="00000000">
      <w:pPr>
        <w:pBdr>
          <w:bottom w:val="single" w:sz="6" w:space="2" w:color="1B3A6B"/>
        </w:pBdr>
        <w:spacing w:before="280" w:after="120"/>
      </w:pPr>
      <w:r>
        <w:rPr>
          <w:rFonts w:ascii="Arial" w:eastAsia="Arial" w:hAnsi="Arial" w:cs="Arial"/>
          <w:b/>
          <w:bCs/>
          <w:color w:val="1B3A6B"/>
        </w:rPr>
        <w:t>CERTIFICATIONS &amp; DISTINCTIONS</w:t>
      </w:r>
    </w:p>
    <w:p w14:paraId="0A30C2FA" w14:textId="77777777" w:rsidR="00F5217C" w:rsidRPr="005B79DD" w:rsidRDefault="00000000">
      <w:pPr>
        <w:pStyle w:val="Listenabsatz"/>
        <w:numPr>
          <w:ilvl w:val="0"/>
          <w:numId w:val="4"/>
        </w:numPr>
        <w:spacing w:before="20" w:after="20"/>
        <w:rPr>
          <w:lang w:val="en-US"/>
        </w:rPr>
      </w:pPr>
      <w:r>
        <w:rPr>
          <w:rFonts w:ascii="Arial" w:eastAsia="Arial" w:hAnsi="Arial" w:cs="Arial"/>
          <w:color w:val="444444"/>
          <w:sz w:val="18"/>
          <w:szCs w:val="18"/>
          <w:lang w:val="en-US"/>
        </w:rPr>
        <w:t>Professional Coaching Certificate | Synchro Coaching Institute | 2014</w:t>
      </w:r>
    </w:p>
    <w:p w14:paraId="0BB4A5B9" w14:textId="77777777" w:rsidR="00F5217C" w:rsidRPr="005B79DD" w:rsidRDefault="00000000">
      <w:pPr>
        <w:pStyle w:val="Listenabsatz"/>
        <w:numPr>
          <w:ilvl w:val="0"/>
          <w:numId w:val="4"/>
        </w:numPr>
        <w:spacing w:before="20" w:after="20"/>
        <w:rPr>
          <w:lang w:val="en-US"/>
        </w:rPr>
      </w:pPr>
      <w:r>
        <w:rPr>
          <w:rFonts w:ascii="Arial" w:eastAsia="Arial" w:hAnsi="Arial" w:cs="Arial"/>
          <w:color w:val="444444"/>
          <w:sz w:val="18"/>
          <w:szCs w:val="18"/>
          <w:lang w:val="en-US"/>
        </w:rPr>
        <w:t>German-French Interpreter Certificate | Franco-German Youth Office (OFAJ) | 2019</w:t>
      </w:r>
    </w:p>
    <w:p w14:paraId="2C4666D3" w14:textId="77777777" w:rsidR="00F5217C" w:rsidRPr="005B79DD" w:rsidRDefault="00000000">
      <w:pPr>
        <w:pStyle w:val="Listenabsatz"/>
        <w:numPr>
          <w:ilvl w:val="0"/>
          <w:numId w:val="4"/>
        </w:numPr>
        <w:spacing w:before="20" w:after="20"/>
        <w:rPr>
          <w:lang w:val="en-US"/>
        </w:rPr>
      </w:pPr>
      <w:r>
        <w:rPr>
          <w:rFonts w:ascii="Arial" w:eastAsia="Arial" w:hAnsi="Arial" w:cs="Arial"/>
          <w:color w:val="444444"/>
          <w:sz w:val="18"/>
          <w:szCs w:val="18"/>
          <w:lang w:val="en-US"/>
        </w:rPr>
        <w:t>European Language Label — Leonardo Programme | 2005</w:t>
      </w:r>
    </w:p>
    <w:p w14:paraId="23E38478" w14:textId="77777777" w:rsidR="00F5217C" w:rsidRPr="005B79DD" w:rsidRDefault="00000000">
      <w:pPr>
        <w:pBdr>
          <w:bottom w:val="single" w:sz="6" w:space="2" w:color="1B3A6B"/>
        </w:pBdr>
        <w:spacing w:before="280" w:after="120"/>
        <w:rPr>
          <w:lang w:val="en-US"/>
        </w:rPr>
      </w:pPr>
      <w:r>
        <w:rPr>
          <w:rFonts w:ascii="Arial" w:eastAsia="Arial" w:hAnsi="Arial" w:cs="Arial"/>
          <w:b/>
          <w:bCs/>
          <w:color w:val="1B3A6B"/>
          <w:lang w:val="en-US"/>
        </w:rPr>
        <w:t>LEARNING TECHNOLOGY &amp; TOOLS</w:t>
      </w:r>
    </w:p>
    <w:p w14:paraId="6A5DC4EF" w14:textId="77777777" w:rsidR="00F5217C" w:rsidRPr="005B79DD" w:rsidRDefault="00000000">
      <w:pPr>
        <w:spacing w:before="40" w:after="40"/>
        <w:rPr>
          <w:lang w:val="en-US"/>
        </w:rPr>
      </w:pPr>
      <w:r>
        <w:rPr>
          <w:rFonts w:ascii="Arial" w:eastAsia="Arial" w:hAnsi="Arial" w:cs="Arial"/>
          <w:b/>
          <w:bCs/>
          <w:color w:val="1B3A6B"/>
          <w:sz w:val="18"/>
          <w:szCs w:val="18"/>
          <w:lang w:val="en-US"/>
        </w:rPr>
        <w:t xml:space="preserve">LMS &amp; Authoring: </w:t>
      </w:r>
      <w:r>
        <w:rPr>
          <w:rFonts w:ascii="Arial" w:eastAsia="Arial" w:hAnsi="Arial" w:cs="Arial"/>
          <w:color w:val="444444"/>
          <w:sz w:val="18"/>
          <w:szCs w:val="18"/>
          <w:lang w:val="en-US"/>
        </w:rPr>
        <w:t>Moodle  •  LearnDash  •  Articulate 360  •  Nolej  •  H5P</w:t>
      </w:r>
    </w:p>
    <w:p w14:paraId="2A5900C2" w14:textId="0CFB19D7" w:rsidR="00F5217C" w:rsidRPr="005B79DD" w:rsidRDefault="00000000">
      <w:pPr>
        <w:spacing w:before="40" w:after="40"/>
        <w:rPr>
          <w:lang w:val="fr-FR"/>
        </w:rPr>
      </w:pPr>
      <w:r>
        <w:rPr>
          <w:rFonts w:ascii="Arial" w:eastAsia="Arial" w:hAnsi="Arial" w:cs="Arial"/>
          <w:b/>
          <w:bCs/>
          <w:color w:val="1B3A6B"/>
          <w:sz w:val="18"/>
          <w:szCs w:val="18"/>
          <w:lang w:val="fr-FR"/>
        </w:rPr>
        <w:t xml:space="preserve">AI &amp; </w:t>
      </w:r>
      <w:proofErr w:type="gramStart"/>
      <w:r>
        <w:rPr>
          <w:rFonts w:ascii="Arial" w:eastAsia="Arial" w:hAnsi="Arial" w:cs="Arial"/>
          <w:b/>
          <w:bCs/>
          <w:color w:val="1B3A6B"/>
          <w:sz w:val="18"/>
          <w:szCs w:val="18"/>
          <w:lang w:val="fr-FR"/>
        </w:rPr>
        <w:t>Digital:</w:t>
      </w:r>
      <w:proofErr w:type="gramEnd"/>
      <w:r>
        <w:rPr>
          <w:rFonts w:ascii="Arial" w:eastAsia="Arial" w:hAnsi="Arial" w:cs="Arial"/>
          <w:b/>
          <w:bCs/>
          <w:color w:val="1B3A6B"/>
          <w:sz w:val="18"/>
          <w:szCs w:val="18"/>
          <w:lang w:val="fr-FR"/>
        </w:rPr>
        <w:t xml:space="preserve"> </w:t>
      </w:r>
      <w:proofErr w:type="gramStart"/>
      <w:r>
        <w:rPr>
          <w:rFonts w:ascii="Arial" w:eastAsia="Arial" w:hAnsi="Arial" w:cs="Arial"/>
          <w:color w:val="444444"/>
          <w:sz w:val="18"/>
          <w:szCs w:val="18"/>
          <w:lang w:val="fr-FR"/>
        </w:rPr>
        <w:t>Claude  •</w:t>
      </w:r>
      <w:proofErr w:type="gramEnd"/>
      <w:r>
        <w:rPr>
          <w:rFonts w:ascii="Arial" w:eastAsia="Arial" w:hAnsi="Arial" w:cs="Arial"/>
          <w:color w:val="444444"/>
          <w:sz w:val="18"/>
          <w:szCs w:val="18"/>
          <w:lang w:val="fr-FR"/>
        </w:rPr>
        <w:t xml:space="preserve">  Mistral </w:t>
      </w:r>
      <w:proofErr w:type="gramStart"/>
      <w:r>
        <w:rPr>
          <w:rFonts w:ascii="Arial" w:eastAsia="Arial" w:hAnsi="Arial" w:cs="Arial"/>
          <w:color w:val="444444"/>
          <w:sz w:val="18"/>
          <w:szCs w:val="18"/>
          <w:lang w:val="fr-FR"/>
        </w:rPr>
        <w:t>•  Canva</w:t>
      </w:r>
      <w:proofErr w:type="gramEnd"/>
      <w:r>
        <w:rPr>
          <w:rFonts w:ascii="Arial" w:eastAsia="Arial" w:hAnsi="Arial" w:cs="Arial"/>
          <w:color w:val="444444"/>
          <w:sz w:val="18"/>
          <w:szCs w:val="18"/>
          <w:lang w:val="fr-FR"/>
        </w:rPr>
        <w:t xml:space="preserve">  </w:t>
      </w:r>
      <w:proofErr w:type="gramStart"/>
      <w:r>
        <w:rPr>
          <w:rFonts w:ascii="Arial" w:eastAsia="Arial" w:hAnsi="Arial" w:cs="Arial"/>
          <w:color w:val="444444"/>
          <w:sz w:val="18"/>
          <w:szCs w:val="18"/>
          <w:lang w:val="fr-FR"/>
        </w:rPr>
        <w:t>•  Microsoft</w:t>
      </w:r>
      <w:proofErr w:type="gramEnd"/>
      <w:r>
        <w:rPr>
          <w:rFonts w:ascii="Arial" w:eastAsia="Arial" w:hAnsi="Arial" w:cs="Arial"/>
          <w:color w:val="444444"/>
          <w:sz w:val="18"/>
          <w:szCs w:val="18"/>
          <w:lang w:val="fr-FR"/>
        </w:rPr>
        <w:t xml:space="preserve"> 365  </w:t>
      </w:r>
    </w:p>
    <w:p w14:paraId="0C36E094" w14:textId="73B5AF12" w:rsidR="005B79DD" w:rsidRDefault="00000000">
      <w:pPr>
        <w:spacing w:before="40" w:after="40"/>
        <w:rPr>
          <w:rFonts w:ascii="Arial" w:eastAsia="Arial" w:hAnsi="Arial" w:cs="Arial"/>
          <w:color w:val="444444"/>
          <w:sz w:val="18"/>
          <w:szCs w:val="18"/>
          <w:lang w:val="en-US"/>
        </w:rPr>
      </w:pPr>
      <w:r>
        <w:rPr>
          <w:rFonts w:ascii="Arial" w:eastAsia="Arial" w:hAnsi="Arial" w:cs="Arial"/>
          <w:b/>
          <w:bCs/>
          <w:color w:val="1B3A6B"/>
          <w:sz w:val="18"/>
          <w:szCs w:val="18"/>
          <w:lang w:val="en-US"/>
        </w:rPr>
        <w:t xml:space="preserve">Standards &amp; Methods: </w:t>
      </w:r>
      <w:r>
        <w:rPr>
          <w:rFonts w:ascii="Arial" w:eastAsia="Arial" w:hAnsi="Arial" w:cs="Arial"/>
          <w:color w:val="444444"/>
          <w:sz w:val="18"/>
          <w:szCs w:val="18"/>
          <w:lang w:val="en-US"/>
        </w:rPr>
        <w:t xml:space="preserve">SCORM 1.2 / </w:t>
      </w:r>
      <w:proofErr w:type="gramStart"/>
      <w:r>
        <w:rPr>
          <w:rFonts w:ascii="Arial" w:eastAsia="Arial" w:hAnsi="Arial" w:cs="Arial"/>
          <w:color w:val="444444"/>
          <w:sz w:val="18"/>
          <w:szCs w:val="18"/>
          <w:lang w:val="en-US"/>
        </w:rPr>
        <w:t>2004  •</w:t>
      </w:r>
      <w:proofErr w:type="gramEnd"/>
      <w:r>
        <w:rPr>
          <w:rFonts w:ascii="Arial" w:eastAsia="Arial" w:hAnsi="Arial" w:cs="Arial"/>
          <w:color w:val="444444"/>
          <w:sz w:val="18"/>
          <w:szCs w:val="18"/>
          <w:lang w:val="en-US"/>
        </w:rPr>
        <w:t xml:space="preserve">  Learning Analytics &amp; </w:t>
      </w:r>
      <w:proofErr w:type="gramStart"/>
      <w:r>
        <w:rPr>
          <w:rFonts w:ascii="Arial" w:eastAsia="Arial" w:hAnsi="Arial" w:cs="Arial"/>
          <w:color w:val="444444"/>
          <w:sz w:val="18"/>
          <w:szCs w:val="18"/>
          <w:lang w:val="en-US"/>
        </w:rPr>
        <w:t>ROI  •</w:t>
      </w:r>
      <w:proofErr w:type="gramEnd"/>
      <w:r>
        <w:rPr>
          <w:rFonts w:ascii="Arial" w:eastAsia="Arial" w:hAnsi="Arial" w:cs="Arial"/>
          <w:color w:val="444444"/>
          <w:sz w:val="18"/>
          <w:szCs w:val="18"/>
          <w:lang w:val="en-US"/>
        </w:rPr>
        <w:t xml:space="preserve">  Blended Learning</w:t>
      </w:r>
    </w:p>
    <w:p w14:paraId="07099D7B" w14:textId="2443DF24" w:rsidR="005B79DD" w:rsidRPr="005B79DD" w:rsidRDefault="005B79DD" w:rsidP="005B79DD">
      <w:pPr>
        <w:pBdr>
          <w:bottom w:val="single" w:sz="6" w:space="2" w:color="1B3A6B"/>
        </w:pBdr>
        <w:spacing w:before="280" w:after="120"/>
        <w:rPr>
          <w:lang w:val="en-US"/>
        </w:rPr>
      </w:pPr>
      <w:r>
        <w:rPr>
          <w:rFonts w:ascii="Arial" w:eastAsia="Arial" w:hAnsi="Arial" w:cs="Arial"/>
          <w:b/>
          <w:bCs/>
          <w:color w:val="1B3A6B"/>
          <w:lang w:val="en-US"/>
        </w:rPr>
        <w:t xml:space="preserve">PUBLICATION </w:t>
      </w:r>
    </w:p>
    <w:p w14:paraId="60865D93" w14:textId="425AE0D3" w:rsidR="005B79DD" w:rsidRPr="005B79DD" w:rsidRDefault="005B79DD" w:rsidP="00605211">
      <w:pPr>
        <w:pStyle w:val="Listenabsatz"/>
        <w:numPr>
          <w:ilvl w:val="0"/>
          <w:numId w:val="16"/>
        </w:numPr>
        <w:rPr>
          <w:rFonts w:eastAsia="Arial"/>
          <w:lang w:val="en-US"/>
        </w:rPr>
      </w:pPr>
      <w:r>
        <w:rPr>
          <w:rFonts w:eastAsia="Arial"/>
          <w:lang w:val="en-US"/>
        </w:rPr>
        <w:t>The World Cup 2026 Fables Serving Corporate Strategy</w:t>
      </w:r>
      <w:r w:rsidR="00546F29">
        <w:rPr>
          <w:rFonts w:eastAsia="Arial"/>
          <w:lang w:val="en-US"/>
        </w:rPr>
        <w:t xml:space="preserve"> </w:t>
      </w:r>
    </w:p>
    <w:p w14:paraId="40030424" w14:textId="36A6141B" w:rsidR="005B79DD" w:rsidRPr="00123F3E" w:rsidRDefault="005B79DD" w:rsidP="00123F3E">
      <w:pPr>
        <w:pStyle w:val="Listenabsatz"/>
        <w:numPr>
          <w:ilvl w:val="0"/>
          <w:numId w:val="16"/>
        </w:numPr>
        <w:rPr>
          <w:rFonts w:eastAsia="Arial"/>
          <w:lang w:val="en-US"/>
        </w:rPr>
      </w:pPr>
      <w:r>
        <w:rPr>
          <w:rFonts w:eastAsia="Arial"/>
          <w:lang w:val="en-US"/>
        </w:rPr>
        <w:t>Digital Sovereignty in the Service of Europe's Economic Interests</w:t>
      </w:r>
      <w:r w:rsidR="00546F29">
        <w:rPr>
          <w:rFonts w:eastAsia="Arial"/>
          <w:i/>
          <w:iCs/>
          <w:lang w:val="en-US"/>
        </w:rPr>
        <w:t xml:space="preserve"> </w:t>
      </w:r>
    </w:p>
    <w:sectPr w:rsidR="005B79DD" w:rsidRPr="00123F3E">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217FA"/>
    <w:multiLevelType w:val="multilevel"/>
    <w:tmpl w:val="0FF22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8565D8"/>
    <w:multiLevelType w:val="hybridMultilevel"/>
    <w:tmpl w:val="EF2AD49A"/>
    <w:lvl w:ilvl="0" w:tplc="94F4D294">
      <w:numFmt w:val="bullet"/>
      <w:lvlText w:val="-"/>
      <w:lvlJc w:val="left"/>
      <w:pPr>
        <w:ind w:left="160" w:hanging="160"/>
      </w:pPr>
      <w:rPr>
        <w:rFonts w:ascii="Arial" w:eastAsia="Aptos" w:hAnsi="Arial" w:cs="Arial" w:hint="default"/>
        <w:color w:val="444444"/>
        <w:sz w:val="18"/>
        <w:szCs w:val="1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FD8587D"/>
    <w:multiLevelType w:val="hybridMultilevel"/>
    <w:tmpl w:val="D1CC0BCA"/>
    <w:lvl w:ilvl="0" w:tplc="94F4D294">
      <w:numFmt w:val="bullet"/>
      <w:lvlText w:val="-"/>
      <w:lvlJc w:val="left"/>
      <w:pPr>
        <w:ind w:left="160" w:hanging="160"/>
      </w:pPr>
      <w:rPr>
        <w:rFonts w:ascii="Arial" w:eastAsia="Aptos" w:hAnsi="Arial" w:cs="Arial" w:hint="default"/>
        <w:color w:val="444444"/>
        <w:sz w:val="18"/>
        <w:szCs w:val="1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6DE4C71"/>
    <w:multiLevelType w:val="hybridMultilevel"/>
    <w:tmpl w:val="866C7A84"/>
    <w:lvl w:ilvl="0" w:tplc="96FCD18E">
      <w:start w:val="1"/>
      <w:numFmt w:val="bullet"/>
      <w:lvlText w:val="–"/>
      <w:lvlJc w:val="left"/>
      <w:pPr>
        <w:ind w:left="160" w:hanging="160"/>
      </w:pPr>
      <w:rPr>
        <w:rFonts w:ascii="Arial" w:eastAsia="Arial" w:hAnsi="Arial" w:cs="Arial"/>
        <w:color w:val="444444"/>
        <w:sz w:val="18"/>
        <w:szCs w:val="18"/>
      </w:rPr>
    </w:lvl>
    <w:lvl w:ilvl="1" w:tplc="F3247504">
      <w:numFmt w:val="decimal"/>
      <w:lvlText w:val=""/>
      <w:lvlJc w:val="left"/>
    </w:lvl>
    <w:lvl w:ilvl="2" w:tplc="B63CA7B4">
      <w:numFmt w:val="decimal"/>
      <w:lvlText w:val=""/>
      <w:lvlJc w:val="left"/>
    </w:lvl>
    <w:lvl w:ilvl="3" w:tplc="1BFA880E">
      <w:numFmt w:val="decimal"/>
      <w:lvlText w:val=""/>
      <w:lvlJc w:val="left"/>
    </w:lvl>
    <w:lvl w:ilvl="4" w:tplc="F45614EA">
      <w:numFmt w:val="decimal"/>
      <w:lvlText w:val=""/>
      <w:lvlJc w:val="left"/>
    </w:lvl>
    <w:lvl w:ilvl="5" w:tplc="C6C06D6E">
      <w:numFmt w:val="decimal"/>
      <w:lvlText w:val=""/>
      <w:lvlJc w:val="left"/>
    </w:lvl>
    <w:lvl w:ilvl="6" w:tplc="B6D0FA76">
      <w:numFmt w:val="decimal"/>
      <w:lvlText w:val=""/>
      <w:lvlJc w:val="left"/>
    </w:lvl>
    <w:lvl w:ilvl="7" w:tplc="375073B0">
      <w:numFmt w:val="decimal"/>
      <w:lvlText w:val=""/>
      <w:lvlJc w:val="left"/>
    </w:lvl>
    <w:lvl w:ilvl="8" w:tplc="A1EECB52">
      <w:numFmt w:val="decimal"/>
      <w:lvlText w:val=""/>
      <w:lvlJc w:val="left"/>
    </w:lvl>
  </w:abstractNum>
  <w:abstractNum w:abstractNumId="4" w15:restartNumberingAfterBreak="0">
    <w:nsid w:val="34CE7C99"/>
    <w:multiLevelType w:val="multilevel"/>
    <w:tmpl w:val="9A702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287C84"/>
    <w:multiLevelType w:val="hybridMultilevel"/>
    <w:tmpl w:val="50286384"/>
    <w:lvl w:ilvl="0" w:tplc="94F4D294">
      <w:numFmt w:val="bullet"/>
      <w:lvlText w:val="-"/>
      <w:lvlJc w:val="left"/>
      <w:pPr>
        <w:ind w:left="720" w:hanging="360"/>
      </w:pPr>
      <w:rPr>
        <w:rFonts w:ascii="Arial" w:eastAsia="Aptos"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7CA0560"/>
    <w:multiLevelType w:val="hybridMultilevel"/>
    <w:tmpl w:val="C7685D2C"/>
    <w:lvl w:ilvl="0" w:tplc="FDB0F404">
      <w:start w:val="1"/>
      <w:numFmt w:val="bullet"/>
      <w:lvlText w:val="♦"/>
      <w:lvlJc w:val="left"/>
      <w:pPr>
        <w:ind w:left="220" w:hanging="160"/>
      </w:pPr>
      <w:rPr>
        <w:rFonts w:ascii="Arial" w:eastAsia="Arial" w:hAnsi="Arial" w:cs="Arial"/>
        <w:color w:val="666666"/>
        <w:sz w:val="12"/>
        <w:szCs w:val="12"/>
      </w:rPr>
    </w:lvl>
    <w:lvl w:ilvl="1" w:tplc="C8B2E0AE">
      <w:numFmt w:val="decimal"/>
      <w:lvlText w:val=""/>
      <w:lvlJc w:val="left"/>
    </w:lvl>
    <w:lvl w:ilvl="2" w:tplc="F896535E">
      <w:numFmt w:val="decimal"/>
      <w:lvlText w:val=""/>
      <w:lvlJc w:val="left"/>
    </w:lvl>
    <w:lvl w:ilvl="3" w:tplc="CEA89558">
      <w:numFmt w:val="decimal"/>
      <w:lvlText w:val=""/>
      <w:lvlJc w:val="left"/>
    </w:lvl>
    <w:lvl w:ilvl="4" w:tplc="F1F2999A">
      <w:numFmt w:val="decimal"/>
      <w:lvlText w:val=""/>
      <w:lvlJc w:val="left"/>
    </w:lvl>
    <w:lvl w:ilvl="5" w:tplc="4E3CBAB8">
      <w:numFmt w:val="decimal"/>
      <w:lvlText w:val=""/>
      <w:lvlJc w:val="left"/>
    </w:lvl>
    <w:lvl w:ilvl="6" w:tplc="D97611F8">
      <w:numFmt w:val="decimal"/>
      <w:lvlText w:val=""/>
      <w:lvlJc w:val="left"/>
    </w:lvl>
    <w:lvl w:ilvl="7" w:tplc="9606CE4A">
      <w:numFmt w:val="decimal"/>
      <w:lvlText w:val=""/>
      <w:lvlJc w:val="left"/>
    </w:lvl>
    <w:lvl w:ilvl="8" w:tplc="74EC2698">
      <w:numFmt w:val="decimal"/>
      <w:lvlText w:val=""/>
      <w:lvlJc w:val="left"/>
    </w:lvl>
  </w:abstractNum>
  <w:abstractNum w:abstractNumId="7" w15:restartNumberingAfterBreak="0">
    <w:nsid w:val="3F5907A8"/>
    <w:multiLevelType w:val="hybridMultilevel"/>
    <w:tmpl w:val="38F0D382"/>
    <w:lvl w:ilvl="0" w:tplc="94F4D294">
      <w:numFmt w:val="bullet"/>
      <w:lvlText w:val="-"/>
      <w:lvlJc w:val="left"/>
      <w:pPr>
        <w:ind w:left="160" w:hanging="160"/>
      </w:pPr>
      <w:rPr>
        <w:rFonts w:ascii="Arial" w:eastAsia="Aptos" w:hAnsi="Arial" w:cs="Arial" w:hint="default"/>
        <w:color w:val="444444"/>
        <w:sz w:val="18"/>
        <w:szCs w:val="1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69620EA"/>
    <w:multiLevelType w:val="hybridMultilevel"/>
    <w:tmpl w:val="45B6BBB8"/>
    <w:lvl w:ilvl="0" w:tplc="622ED60C">
      <w:numFmt w:val="bullet"/>
      <w:lvlText w:val="-"/>
      <w:lvlJc w:val="left"/>
      <w:pPr>
        <w:ind w:left="720" w:hanging="360"/>
      </w:pPr>
      <w:rPr>
        <w:rFonts w:ascii="Times New Roman" w:eastAsia="Arial"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51DB0E48"/>
    <w:multiLevelType w:val="hybridMultilevel"/>
    <w:tmpl w:val="C1CAE7E8"/>
    <w:lvl w:ilvl="0" w:tplc="94F4D294">
      <w:numFmt w:val="bullet"/>
      <w:lvlText w:val="-"/>
      <w:lvlJc w:val="left"/>
      <w:pPr>
        <w:ind w:left="160" w:hanging="160"/>
      </w:pPr>
      <w:rPr>
        <w:rFonts w:ascii="Arial" w:eastAsia="Aptos" w:hAnsi="Arial" w:cs="Arial" w:hint="default"/>
        <w:color w:val="444444"/>
        <w:sz w:val="18"/>
        <w:szCs w:val="1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A2C03EE"/>
    <w:multiLevelType w:val="hybridMultilevel"/>
    <w:tmpl w:val="F61C1A06"/>
    <w:lvl w:ilvl="0" w:tplc="B832FF5E">
      <w:start w:val="1"/>
      <w:numFmt w:val="bullet"/>
      <w:lvlText w:val="●"/>
      <w:lvlJc w:val="left"/>
      <w:pPr>
        <w:ind w:left="720" w:hanging="360"/>
      </w:pPr>
    </w:lvl>
    <w:lvl w:ilvl="1" w:tplc="40788A60">
      <w:start w:val="1"/>
      <w:numFmt w:val="bullet"/>
      <w:lvlText w:val="○"/>
      <w:lvlJc w:val="left"/>
      <w:pPr>
        <w:ind w:left="1440" w:hanging="360"/>
      </w:pPr>
    </w:lvl>
    <w:lvl w:ilvl="2" w:tplc="235ABDD8">
      <w:start w:val="1"/>
      <w:numFmt w:val="bullet"/>
      <w:lvlText w:val="■"/>
      <w:lvlJc w:val="left"/>
      <w:pPr>
        <w:ind w:left="2160" w:hanging="360"/>
      </w:pPr>
    </w:lvl>
    <w:lvl w:ilvl="3" w:tplc="A14685DC">
      <w:start w:val="1"/>
      <w:numFmt w:val="bullet"/>
      <w:lvlText w:val="●"/>
      <w:lvlJc w:val="left"/>
      <w:pPr>
        <w:ind w:left="2880" w:hanging="360"/>
      </w:pPr>
    </w:lvl>
    <w:lvl w:ilvl="4" w:tplc="D87A456A">
      <w:start w:val="1"/>
      <w:numFmt w:val="bullet"/>
      <w:lvlText w:val="○"/>
      <w:lvlJc w:val="left"/>
      <w:pPr>
        <w:ind w:left="3600" w:hanging="360"/>
      </w:pPr>
    </w:lvl>
    <w:lvl w:ilvl="5" w:tplc="54EAF928">
      <w:start w:val="1"/>
      <w:numFmt w:val="bullet"/>
      <w:lvlText w:val="■"/>
      <w:lvlJc w:val="left"/>
      <w:pPr>
        <w:ind w:left="4320" w:hanging="360"/>
      </w:pPr>
    </w:lvl>
    <w:lvl w:ilvl="6" w:tplc="13E0EE42">
      <w:start w:val="1"/>
      <w:numFmt w:val="bullet"/>
      <w:lvlText w:val="●"/>
      <w:lvlJc w:val="left"/>
      <w:pPr>
        <w:ind w:left="5040" w:hanging="360"/>
      </w:pPr>
    </w:lvl>
    <w:lvl w:ilvl="7" w:tplc="E5D80B34">
      <w:start w:val="1"/>
      <w:numFmt w:val="bullet"/>
      <w:lvlText w:val="●"/>
      <w:lvlJc w:val="left"/>
      <w:pPr>
        <w:ind w:left="5760" w:hanging="360"/>
      </w:pPr>
    </w:lvl>
    <w:lvl w:ilvl="8" w:tplc="4878B4B6">
      <w:start w:val="1"/>
      <w:numFmt w:val="bullet"/>
      <w:lvlText w:val="●"/>
      <w:lvlJc w:val="left"/>
      <w:pPr>
        <w:ind w:left="6480" w:hanging="360"/>
      </w:pPr>
    </w:lvl>
  </w:abstractNum>
  <w:abstractNum w:abstractNumId="11" w15:restartNumberingAfterBreak="0">
    <w:nsid w:val="67822EA4"/>
    <w:multiLevelType w:val="hybridMultilevel"/>
    <w:tmpl w:val="CD7E0652"/>
    <w:lvl w:ilvl="0" w:tplc="94F4D294">
      <w:numFmt w:val="bullet"/>
      <w:lvlText w:val="-"/>
      <w:lvlJc w:val="left"/>
      <w:pPr>
        <w:ind w:left="160" w:hanging="160"/>
      </w:pPr>
      <w:rPr>
        <w:rFonts w:ascii="Arial" w:eastAsia="Aptos" w:hAnsi="Arial" w:cs="Arial" w:hint="default"/>
        <w:color w:val="444444"/>
        <w:sz w:val="18"/>
        <w:szCs w:val="1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A341555"/>
    <w:multiLevelType w:val="multilevel"/>
    <w:tmpl w:val="19AAE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242A89"/>
    <w:multiLevelType w:val="hybridMultilevel"/>
    <w:tmpl w:val="285CB246"/>
    <w:lvl w:ilvl="0" w:tplc="B85ADB38">
      <w:start w:val="1"/>
      <w:numFmt w:val="bullet"/>
      <w:lvlText w:val="•"/>
      <w:lvlJc w:val="left"/>
      <w:pPr>
        <w:ind w:left="220" w:hanging="160"/>
      </w:pPr>
      <w:rPr>
        <w:rFonts w:ascii="Arial" w:eastAsia="Arial" w:hAnsi="Arial" w:cs="Arial"/>
        <w:color w:val="444444"/>
        <w:sz w:val="18"/>
        <w:szCs w:val="18"/>
      </w:rPr>
    </w:lvl>
    <w:lvl w:ilvl="1" w:tplc="91A2635C">
      <w:numFmt w:val="decimal"/>
      <w:lvlText w:val=""/>
      <w:lvlJc w:val="left"/>
    </w:lvl>
    <w:lvl w:ilvl="2" w:tplc="18E8EA0E">
      <w:numFmt w:val="decimal"/>
      <w:lvlText w:val=""/>
      <w:lvlJc w:val="left"/>
    </w:lvl>
    <w:lvl w:ilvl="3" w:tplc="BB0E8DDE">
      <w:numFmt w:val="decimal"/>
      <w:lvlText w:val=""/>
      <w:lvlJc w:val="left"/>
    </w:lvl>
    <w:lvl w:ilvl="4" w:tplc="EBF805EC">
      <w:numFmt w:val="decimal"/>
      <w:lvlText w:val=""/>
      <w:lvlJc w:val="left"/>
    </w:lvl>
    <w:lvl w:ilvl="5" w:tplc="82546796">
      <w:numFmt w:val="decimal"/>
      <w:lvlText w:val=""/>
      <w:lvlJc w:val="left"/>
    </w:lvl>
    <w:lvl w:ilvl="6" w:tplc="6C14A816">
      <w:numFmt w:val="decimal"/>
      <w:lvlText w:val=""/>
      <w:lvlJc w:val="left"/>
    </w:lvl>
    <w:lvl w:ilvl="7" w:tplc="C7B4CF50">
      <w:numFmt w:val="decimal"/>
      <w:lvlText w:val=""/>
      <w:lvlJc w:val="left"/>
    </w:lvl>
    <w:lvl w:ilvl="8" w:tplc="A9B89E18">
      <w:numFmt w:val="decimal"/>
      <w:lvlText w:val=""/>
      <w:lvlJc w:val="left"/>
    </w:lvl>
  </w:abstractNum>
  <w:abstractNum w:abstractNumId="14" w15:restartNumberingAfterBreak="0">
    <w:nsid w:val="75F80064"/>
    <w:multiLevelType w:val="hybridMultilevel"/>
    <w:tmpl w:val="4F086914"/>
    <w:lvl w:ilvl="0" w:tplc="94F4D294">
      <w:numFmt w:val="bullet"/>
      <w:lvlText w:val="-"/>
      <w:lvlJc w:val="left"/>
      <w:pPr>
        <w:ind w:left="160" w:hanging="160"/>
      </w:pPr>
      <w:rPr>
        <w:rFonts w:ascii="Arial" w:eastAsia="Aptos" w:hAnsi="Arial" w:cs="Arial" w:hint="default"/>
        <w:color w:val="444444"/>
        <w:sz w:val="18"/>
        <w:szCs w:val="1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792553022">
    <w:abstractNumId w:val="10"/>
    <w:lvlOverride w:ilvl="0">
      <w:startOverride w:val="1"/>
    </w:lvlOverride>
  </w:num>
  <w:num w:numId="2" w16cid:durableId="2059357985">
    <w:abstractNumId w:val="3"/>
    <w:lvlOverride w:ilvl="0">
      <w:startOverride w:val="1"/>
    </w:lvlOverride>
  </w:num>
  <w:num w:numId="3" w16cid:durableId="1613366967">
    <w:abstractNumId w:val="6"/>
    <w:lvlOverride w:ilvl="0">
      <w:startOverride w:val="1"/>
    </w:lvlOverride>
  </w:num>
  <w:num w:numId="4" w16cid:durableId="188494540">
    <w:abstractNumId w:val="13"/>
    <w:lvlOverride w:ilvl="0">
      <w:startOverride w:val="1"/>
    </w:lvlOverride>
  </w:num>
  <w:num w:numId="5" w16cid:durableId="536159926">
    <w:abstractNumId w:val="4"/>
  </w:num>
  <w:num w:numId="6" w16cid:durableId="333459352">
    <w:abstractNumId w:val="12"/>
  </w:num>
  <w:num w:numId="7" w16cid:durableId="175582157">
    <w:abstractNumId w:val="0"/>
  </w:num>
  <w:num w:numId="8" w16cid:durableId="920404453">
    <w:abstractNumId w:val="8"/>
  </w:num>
  <w:num w:numId="9" w16cid:durableId="1614241003">
    <w:abstractNumId w:val="3"/>
  </w:num>
  <w:num w:numId="10" w16cid:durableId="180975152">
    <w:abstractNumId w:val="9"/>
  </w:num>
  <w:num w:numId="11" w16cid:durableId="1733961140">
    <w:abstractNumId w:val="7"/>
  </w:num>
  <w:num w:numId="12" w16cid:durableId="1524590157">
    <w:abstractNumId w:val="1"/>
  </w:num>
  <w:num w:numId="13" w16cid:durableId="814176976">
    <w:abstractNumId w:val="14"/>
  </w:num>
  <w:num w:numId="14" w16cid:durableId="1894654716">
    <w:abstractNumId w:val="2"/>
  </w:num>
  <w:num w:numId="15" w16cid:durableId="258678464">
    <w:abstractNumId w:val="11"/>
  </w:num>
  <w:num w:numId="16" w16cid:durableId="3823671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56"/>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17C"/>
    <w:rsid w:val="000361E6"/>
    <w:rsid w:val="00123F3E"/>
    <w:rsid w:val="001A2A46"/>
    <w:rsid w:val="0028415A"/>
    <w:rsid w:val="00356204"/>
    <w:rsid w:val="0036446B"/>
    <w:rsid w:val="004174DC"/>
    <w:rsid w:val="00511AAC"/>
    <w:rsid w:val="00546F29"/>
    <w:rsid w:val="00573A5D"/>
    <w:rsid w:val="00583F80"/>
    <w:rsid w:val="005B79DD"/>
    <w:rsid w:val="00605211"/>
    <w:rsid w:val="00804899"/>
    <w:rsid w:val="008B77DF"/>
    <w:rsid w:val="00F5217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62983"/>
  <w15:docId w15:val="{FB7D964C-2A02-40E7-B61A-5538EFF6E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semiHidden/>
    <w:unhideWhenUsed/>
    <w:qFormat/>
    <w:pPr>
      <w:outlineLvl w:val="1"/>
    </w:pPr>
    <w:rPr>
      <w:color w:val="2E74B5"/>
      <w:sz w:val="26"/>
      <w:szCs w:val="26"/>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style>
  <w:style w:type="character" w:customStyle="1" w:styleId="EndnotentextZchn">
    <w:name w:val="Endnotentext Zchn"/>
    <w:link w:val="Endnotentext"/>
    <w:uiPriority w:val="99"/>
    <w:semiHidden/>
    <w:unhideWhenUsed/>
    <w:rPr>
      <w:sz w:val="20"/>
      <w:szCs w:val="20"/>
    </w:rPr>
  </w:style>
  <w:style w:type="character" w:styleId="Fett">
    <w:name w:val="Strong"/>
    <w:basedOn w:val="Absatz-Standardschriftart"/>
    <w:uiPriority w:val="22"/>
    <w:qFormat/>
    <w:rsid w:val="005B79DD"/>
    <w:rPr>
      <w:b/>
      <w:bCs/>
    </w:rPr>
  </w:style>
  <w:style w:type="character" w:styleId="Hervorhebung">
    <w:name w:val="Emphasis"/>
    <w:basedOn w:val="Absatz-Standardschriftart"/>
    <w:uiPriority w:val="20"/>
    <w:qFormat/>
    <w:rsid w:val="005B79DD"/>
    <w:rPr>
      <w:i/>
      <w:iCs/>
    </w:rPr>
  </w:style>
  <w:style w:type="character" w:styleId="NichtaufgelsteErwhnung">
    <w:name w:val="Unresolved Mention"/>
    <w:basedOn w:val="Absatz-Standardschriftart"/>
    <w:uiPriority w:val="99"/>
    <w:semiHidden/>
    <w:unhideWhenUsed/>
    <w:rsid w:val="00583F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ail4mation.ch/" TargetMode="External"/><Relationship Id="rId13" Type="http://schemas.openxmlformats.org/officeDocument/2006/relationships/hyperlink" Target="https://drive.google.com/file/d/1n7C42UUV2zbYekLPxdrBRBdTw-4VWYCh/view?usp=sharing" TargetMode="External"/><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systancia.com/" TargetMode="Externa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linkedin.com/in/ludovicalbisser" TargetMode="External"/><Relationship Id="rId11" Type="http://schemas.openxmlformats.org/officeDocument/2006/relationships/hyperlink" Target="https://back-to-business.eu/" TargetMode="External"/><Relationship Id="rId5" Type="http://schemas.openxmlformats.org/officeDocument/2006/relationships/hyperlink" Target="mailto:ludoalbisser@gmail.com" TargetMode="External"/><Relationship Id="rId15" Type="http://schemas.openxmlformats.org/officeDocument/2006/relationships/image" Target="media/image3.png"/><Relationship Id="rId10" Type="http://schemas.openxmlformats.org/officeDocument/2006/relationships/hyperlink" Target="https://www.axians.ch/en/portfolio/cyber-security/" TargetMode="Externa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yperlink" Target="https://formatrix.fr/" TargetMode="External"/><Relationship Id="rId14"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1020</Words>
  <Characters>6428</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Ludovic Albisser</cp:lastModifiedBy>
  <cp:revision>10</cp:revision>
  <dcterms:created xsi:type="dcterms:W3CDTF">2026-08-04T13:24:00Z</dcterms:created>
  <dcterms:modified xsi:type="dcterms:W3CDTF">2026-08-11T12:39:00Z</dcterms:modified>
</cp:coreProperties>
</file>